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H_71/2004 vom 2. Dezember 2004</w:t>
      </w:r>
    </w:p>
    <w:p>
      <w:r>
        <w:t>Bundesgericht, 2004-12-02, DE</w:t>
      </w:r>
    </w:p>
    <w:p>
      <w:r>
        <w:rPr>
          <w:b/>
        </w:rPr>
        <w:t xml:space="preserve">Quelle: </w:t>
      </w:r>
      <w:r>
        <w:t>https://mcp.opencaselaw.ch/entscheid/bger_H_71_2004</w:t>
      </w:r>
    </w:p>
    <w:p>
      <w:r>
        <w:t>FR: TF H_71/2004 du 2 décembre 2004</w:t>
      </w:r>
    </w:p>
    <w:p>
      <w:r>
        <w:t>IT: TF H_71/2004 del 2 dicembre 2004</w:t>
      </w:r>
    </w:p>
    <w:p>
      <w:pPr>
        <w:pStyle w:val="Heading2"/>
      </w:pPr>
      <w:r>
        <w:t>Erwägungen</w:t>
      </w:r>
    </w:p>
    <w:p>
      <w:r>
        <w:rPr>
          <w:b/>
        </w:rPr>
        <w:t>E. 1.1</w:t>
      </w:r>
    </w:p>
    <w:p>
      <w:r>
        <w:t>Während die SAK M.________ (nachfolgend: Beschwerdeführerin 1) mit Verfügung vom 3. April 2003 eine monatliche Altersrente per 1. Mai 2003 in Höhe von Fr. 975.- zugesprochen hatte, setzte die Rekurskommission diese auf Fr. 967.- fest. Entgegen der vorinstanzlichen Betrachtungsweise wurde damit dem Rechtsbegehren der Versicherten nach einer höheren Rente nicht nur nicht vollumfänglich entsprochen, sondern es wurde die angefochtene Verfügung vielmehr zu deren Ungunsten geändert, woraus eine Schlechterstellung (reformatio in peius) resultiert ( BGE 122 V 166 f. Erw. 1 mit Hinweisen).</w:t>
      </w:r>
    </w:p>
    <w:p>
      <w:r>
        <w:rPr>
          <w:b/>
        </w:rPr>
        <w:t>E. 1.2.1</w:t>
      </w:r>
    </w:p>
    <w:p>
      <w:r>
        <w:t>Nach der auf den Anspruch auf rechtliches Gehör ( Art. 29 Abs. 2 BV ; früher Art. 4 aBV ) gestützten Rechtsprechung hat eine Behörde, die beabsichtigt, auf ein Rechtsmittel hin zu einer reformatio in peius zu schreiten, die betroffene Partei vorgängig darauf aufmerksam zu machen und ihr zum einen Gelegenheit zu einer Stellungnahme einzuräumen und sie zum andern auf die Möglichkeit des Beschwerderückzugs hinzuweisen ( BGE 122 V 167 f. Erw. 2a und b mit Hinweisen; vgl. nunmehr auch Art. 61 lit. d ATSG , welcher auf Verfahren vor Rekurskommissionen des Bundes indessen keine direkte Anwendung findet [vgl. BGE 122 V 412 ; Ueli Kieser, ATSG-Kommentar, Kommentar zum Bundesgesetz über den Allgemeinen Teil des Sozialversicherungsrechts vom 6. Oktober 2000, Zürich 2003, Rz 4 in fine zu Art. 61]).</w:t>
      </w:r>
    </w:p>
    <w:p>
      <w:r>
        <w:rPr>
          <w:b/>
        </w:rPr>
        <w:t>E. 1.2.2</w:t>
      </w:r>
    </w:p>
    <w:p>
      <w:r>
        <w:t>Auch wenn die Beschwerdeführerin 1 und ihr Ehegatte (nachfolgend: Beschwerdeführer 2) durch den Entscheid der Vorinstanz insgesamt die bereits durch die SAK verfügten monatlichen Rentenbetreffnisse erhalten würden (Fr. 1836.- [Verwaltung: Fr. 975.- + Fr. 861.-; Rekurskommission: Fr. 967.- + Fr. 869.-]), erfolgte damit insbesondere vor dem Hintergrund des mit der 10. AHV-Revision angestrebten Wechsels vom Ehepaarrenten- zum Individualrentenkonzept (vgl. BGE 129 V 4 f. Erw. 2 mit Hinweisen) doch - wie zuvor dargelegt - im Falle der Beschwerdeführerin 1 eine Rentenreduktion und mithin eine Verschlechterung ihrer Rechtsposition. Die Rekurskommission wäre folglich gehalten gewesen, der Versicherten vor Erlass des Entscheides vom 1. März 2004 unter Hinweis auf die Möglichkeit des Beschwerderückzugs eine reformatio in peius anzudrohen. Da sie dies jedoch unterlassen und dadurch das rechtliche Gehör der Beschwerdeführerin 1 verletzt hat, ist der Entscheid, soweit die Altersrente der Beschwerdeführerin 1 betreffend, aufzuheben, und die Sache aus formellen Gründen an die Vorinstanz zurückzuweisen, welche den entsprechenden Verfahrensvorschriften nachträglich Rechnung tragen wird ( BGE 122 V 168 Erw. 3; RKUV 2004 Nr. U 520 S. 446 Erw. 4 mit Hinweisen).</w:t>
      </w:r>
    </w:p>
    <w:p>
      <w:r>
        <w:rPr>
          <w:b/>
        </w:rPr>
        <w:t>E. 2</w:t>
      </w:r>
    </w:p>
    <w:p>
      <w:r>
        <w:t>Streitig und zu prüfen ist die Höhe der dem Beschwerdeführer 2 zustehenden Altersrente.</w:t>
      </w:r>
    </w:p>
    <w:p>
      <w:r>
        <w:rPr>
          <w:b/>
        </w:rPr>
        <w:t>E. 2.1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namentlich auch dessen Anhang II, der die Koordinierung der Systeme der sozialen Sicherheit regelt, im vorliegenden Verfahren grundsätzlich zu berücksichtigen ist. Soweit dieses indessen keine abweichenden Bestimmungen vorsieht, ist mangels einer einschlägigen gemeinschafts- bzw. abkommensrechtlichen Regelung die Ausgestaltung des Verfahrens sowie die Prüfung der Anspruchsvoraussetzungen und die Berechnung der schweizerischen Altersrente grundsätzlich Sache der innerstaatlichen Rechtsordnung. Anzumerken bleibt, dass das FZA insbesondere nicht vorsieht, dass in die Berechnung der Altersrente auch die in Deutschland zurückgelegten Versicherungszeiten einzubeziehen sind ( BGE 130 V 51 ; SVR 2004 AHV Nr. 16 S. 49; zur Publikation in der Amtlichen Sammlung vorgesehenes Urteil S. vom 13. Oktober 2004, H 49/04, Erw. 1.2 in fine).</w:t>
      </w:r>
    </w:p>
    <w:p>
      <w:r>
        <w:rPr>
          <w:b/>
        </w:rPr>
        <w:t>E. 2.2</w:t>
      </w:r>
    </w:p>
    <w:p>
      <w:r>
        <w:t>Die Vorinstanz hat die für die Rentenberechnung massgebenden - mit In-Kraft-Treten des Bundesgesetzes über den Allgemeinen Teil des Sozialversicherungsrechts (ATSG) vom 6. Oktober 2000 per 1. Januar 2003 unverändert gebliebenen - Gesetzes- und Verordnungsbestimmungen ( Art. 29bis - 33ter AHVG , Art. 50 ff. AHVV ) richtig wiedergegeben. Darauf wird verwiesen.</w:t>
      </w:r>
    </w:p>
    <w:p>
      <w:r>
        <w:rPr>
          <w:b/>
        </w:rPr>
        <w:t>E. 3</w:t>
      </w:r>
    </w:p>
    <w:p>
      <w:r>
        <w:t>In BGE 130 V 49 (insbes. 55 f. Erw. 5.4) wurde erkannt, dass die Schweiz ihre autonome (AHV-)Rentenberechnung beibehalten konnte, da sie nicht gegen den EU-Grundsatz verstösst, wonach ein nach den nationalen Vorschriften errechneter Betrag nicht kleiner sein darf als der Betrag, der sich aus der Zusammenrechnung der Versicherungszeiten und der Pro-Rata-Methode ergibt. Um eine lineare Rentenberechnung zu gewährleisten, war daher nur eine Anpassung in der Aufwertung der Versicherungszeiten vor 1973 nötig (mit entsprechender Anpassung von Art. 52 AHVV ). Ob diese als Folge des FZA für alle versicherten Personen unabhängig von ihrer Staatszugehörigkeit geänderte Ermittlung der Rentenskala bei laufenden Teilrenten in Bezug auf den Rentenanspruch des Beschwerdeführers 2 für die Zeit ab 1. Juni 2002 berücksichtigt worden ist (vgl. zum Ganzen: Kreisschreiben des BSV zur Einführung der linearen Rentenskala bei laufenden Renten [KSLRS], gültig ab 1. Juni 2002), kann den Akten nicht entnommen werden. Vielmehr ist auf Grund des Umstands, dass die an den Versicherten gerichtete Rentenverfügung der SAK vom 3. April 2003 (Plafonierung der bisherigen Altersrente) diejenige vom 14. August 2001 (Ablösung der Invaliden- durch eine Altersrente) ersetzte, davon auszugehen, dass keine entsprechende Neuberechnung per 1. Juni 2002 stattgefunden hat. Ohne diesbezügliche Anpassung bzw. ohne sicheres Wissen darum, ob die Einführung der linearen Rentenskala im vorliegenden Fall jedenfalls geprüft wurde, ist eine abschliessende Beurteilung der dem Beschwerdeführer 2 zustehenden Altersrente indes nicht möglich. Die Sache ist daher zu diesem Zwecke an die Verwaltung zurückzuweisen.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