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H_65/2002 vom 25. Oktober 2002</w:t>
      </w:r>
    </w:p>
    <w:p>
      <w:r>
        <w:t>Bundesgericht, 2002-10-25, DE</w:t>
      </w:r>
    </w:p>
    <w:p>
      <w:r>
        <w:rPr>
          <w:b/>
        </w:rPr>
        <w:t xml:space="preserve">Quelle: </w:t>
      </w:r>
      <w:r>
        <w:t>https://mcp.opencaselaw.ch/entscheid/bger_H_65_2002</w:t>
      </w:r>
    </w:p>
    <w:p>
      <w:r>
        <w:t>FR: TF H_65/2002 du 25 octobre 2002</w:t>
      </w:r>
    </w:p>
    <w:p>
      <w:r>
        <w:t>IT: TF H_65/2002 del 25 ottobre 2002</w:t>
      </w:r>
    </w:p>
    <w:p>
      <w:pPr>
        <w:pStyle w:val="Heading2"/>
      </w:pPr>
      <w:r>
        <w:t>Erwägungen</w:t>
      </w:r>
    </w:p>
    <w:p>
      <w:r>
        <w:rPr>
          <w:b/>
        </w:rPr>
        <w:t>E. 1</w:t>
      </w:r>
    </w:p>
    <w:p>
      <w:r>
        <w:t>Auf die Verwaltungsgerichtsbeschwerde kann nur soweit eingetreten werden, als der Erlass von Sozialversicherungsbeiträgen kraft Bundesrechts sowie der entsprechenden Zinsen streitig ist. Im vorliegenden Verfahren ist demnach nicht zu prüfen, wie es sich bezüglich des Erlasses von Beiträgen an die Ausgleichskasse für kantonale Familienzulagen und den Fonds für Berufsbildung ( BGE 124 V 146 Erw. 1 mit Hinweis) verhält.</w:t>
      </w:r>
    </w:p>
    <w:p>
      <w:r>
        <w:rPr>
          <w:b/>
        </w:rPr>
        <w:t>E. 2.1</w:t>
      </w:r>
    </w:p>
    <w:p>
      <w:r>
        <w:t>Nach ständiger Rechtsprechung prüft das Eidgenössische Versicherungsgericht von Amtes wegen die formellen Gültigkeitserfordernisse des Verfahrens, insbesondere auch die Frage, ob die Vorinstanz zu Recht auf eine Beschwerde oder Klage eingetreten ist. Dies gilt auch für die Sachurteilsvoraussetzung einer anfechtbaren Verfügung. 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125 V 405 Erw. 4a mit Hinweisen).</w:t>
      </w:r>
    </w:p>
    <w:p>
      <w:r>
        <w:rPr>
          <w:b/>
        </w:rPr>
        <w:t>E. 2.2</w:t>
      </w:r>
    </w:p>
    <w:p>
      <w:r>
        <w:t>Im Gegensatz zu den übrigen Trägern der Sozialversicherung, wie etwa den Ausgleichskassen, kommt den Pensionskassen keine hoheitliche Gewalt zu, weshalb sie keine Befugnis haben, über Rechte oder Pflichten der Versicherten und anderen Vorsorgebeteiligten, wie z.B. den Arbeitgebern, Verfügungen zu erlassen, die formell rechtskräftig werden könnten ( BGE 115 V 229 ; vgl. auch Brühwiler, Obligatorische berufliche Vorsorge, in: Schweizerisches Bundesverwaltungsrecht [SBVR], Soziale Sicherheit, Basel 1998, Rz 55). Die Rechtsbeziehung zwischen Vorsorgeeinrichtung und Arbeitgeber richtet sich nebst den gesetzlichen Normen (z.B. Art. 39 Abs. 2, Art. 41 Abs. 1 und Art. 66 BVG ) vor allem nach dem Anschlussvertrag und den reglementarischen Bestimmungen. Für Streitigkeiten zwischen Vorsorgeeinrichtung und Arbeitgeber ist das vom Kanton als zuständig bezeichnete Gericht am Sitz der Vorsorgeeinrichtung bzw. des Arbeitgebers zuständig ( Art. 73 Abs. 1 und 3 BVG ).</w:t>
      </w:r>
    </w:p>
    <w:p>
      <w:r>
        <w:rPr>
          <w:b/>
        </w:rPr>
        <w:t>E. 2.3</w:t>
      </w:r>
    </w:p>
    <w:p>
      <w:r>
        <w:t>Die Verfügung vom 22. November 2000 beinhaltet auch die Nachzahlung von Beiträgen an die berufliche Vorsorge; demzufolge bezieht sich die Verfügung vom 2. April 2001 auch auf den Erlass von Beiträgen an die berufliche Vorsorge. Diese Beiträge wurden jedoch unzulässigerweise verfügt, da der Pensionskasse Panvica keine Befugnis zum Erlass von Verfügungen zukommt. Soweit die Verfügungen vom 22. November 2000 und 2. April 2001 sich auf Beiträge an die berufliche Vorsorge beziehen, sind sie zu Unrecht erlassen worden (vgl. SZS 1998 S. 315; SVR 1995 BVG Nr. 40 S. 118 Erw. 2b, je mit Hinweisen) und mit einem derart schweren Mangel behaftet, dass ihre Nichtigkeit von Amtes wegen festzustellen und zu berücksichtigen ist (vgl. BGE 127 II 47 Erw. 3g; SVR 2002 KV Nr. 38 S. 138 Erw. 4c, je mit Hinweisen). Daran ändert auch der Umstand nichts, dass die Pensionskasse Panvica die Ausgleichskasse Panvica mit der verwaltungsmässigen Durchführung beauftragt hat (Art. 1 in Verbindung mit Art. 43 des Reglementes); denn die Pensionskasse kann nicht mehr Rechte übertragen, als ihr selbst zustehen, und die Befugnis der Ausgleichskasse zum Erlass von Verfügungen bezieht sich nur auf die von Gesetzes wegen übertragenen Aufgaben (vgl. etwa Art. 63 AHVG ). Nach dem Gesagten ist die Vorinstanz somit teilweise zu Unrecht auf die Beschwerde eingetreten, sodass der kantonale Entscheid, soweit er Beiträge an die berufliche Vorsorge betrifft, von Amtes wegen aufzuheben ist. Der Pensionskasse Panvica bleibt es unbenommen, auf dem korrekten Rechtsweg die entsprechenden Beiträge an die berufliche Vorsorge gegenüber der Beschwerdeführerin geltend zu machen.</w:t>
      </w:r>
    </w:p>
    <w:p>
      <w:r>
        <w:rPr>
          <w:b/>
        </w:rPr>
        <w:t>E. 3.1</w:t>
      </w:r>
    </w:p>
    <w:p>
      <w:r>
        <w:t>Die Beschwerdeführerin rügt, die der Nachzahlungsverfügung zugrunde liegende Lohnsumme entspreche nicht dem tatsächlichen Lohneinkommen und verweist hiezu auf das individuelle Konto des Verwaltungsratspräsidenten und angeblich einzigen Arbeitnehmers. Zudem habe der damalige Buchhalter 1991 fälschlicherweise die Liegenschaft des Vaters des Verwaltungsratspräsidenten "kontiert", weshalb zu viel Beiträge hätten bezahlt werden müssen. Es sei ihr auch unmöglich, die Ausstände zu begleichen.</w:t>
      </w:r>
    </w:p>
    <w:p>
      <w:r>
        <w:rPr>
          <w:b/>
        </w:rPr>
        <w:t>E. 3.2</w:t>
      </w:r>
    </w:p>
    <w:p>
      <w:r>
        <w:t>Soweit die Beschwerdeführerin die Nachzahlung als solche beanstandet, ist die entsprechende Verfügung vom 22. November 2000, welche sich im Übrigen nur auf Lohnzahlungen und -gutschriften der Jahre 1995 bis 1999 bezieht, in Rechtskraft erwachsen und kann deshalb weder von der Vorinstanz noch vom Eidgenössischen Versicherungsgericht mehr überprüft werden.</w:t>
      </w:r>
    </w:p>
    <w:p>
      <w:r>
        <w:rPr>
          <w:b/>
        </w:rPr>
        <w:t>E. 4</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5.1</w:t>
      </w:r>
    </w:p>
    <w:p>
      <w:r>
        <w:t>Die Vorinstanz hat die Bestimmungen und Grundsätze über den Erlass von Nachzahlungen, insbesondere die Voraussetzungen des guten Glaubens und der grossen Härte ( Art. 14 Abs. 4 lit. d AHVG in Verbindung mit Art. 40 Abs. 1 AHVV ; BGE 113 V 248 , 100 V 151; ZAK 1961 S. 169, je mit Hinweisen), zutreffend dargelegt. Darauf kann verwiesen werden.</w:t>
      </w:r>
    </w:p>
    <w:p>
      <w:r>
        <w:rPr>
          <w:b/>
        </w:rPr>
        <w:t>E. 5.2</w:t>
      </w:r>
    </w:p>
    <w:p>
      <w:r>
        <w:t>Gemäss Eintrag im Handelsregister ist Y.________ seit Gründung Präsident und seit August 2000 einziger Verwaltungsrat der Gesellschaft. Sein Wissen und Handeln ist somit als Wissen der Aktiengesellschaft zu werten. Da die Beschwerdeführerin bereits auf Grund der letzten Arbeitgeberkontrolle vom 27. Juni 1996 beträchtliche Nachzahlungen zu leisten hatte, musste dem für sie handelnden Y.________ bewusst sein, dass die Aktiengesellschaft auf allen Lohnzahlungen und -gutschriften Sozialversicherungsbeiträge zu entrichten hat. Nachdem sein Wissen und Handeln auch der Aktiengesellschaft anzurechnen ist, kann sie bezüglich der erneuten Nachzahlung nicht mehr als gutgläubig bezeichnet werden. Somit ist die erste Voraussetzung für den Erlass im Bereich der AHV, IV, EO sowie der Arbeitslosenversicherung, der gute Glaube, zu verneinen, und es kann offen blieben, ob die Bezahlung der Ausstände eine grosse Härte für die Aktiengesellschaft darstellt. Der vorinstanzliche Entscheid verletzt diesbezüglich kein Bundesrecht.</w:t>
      </w:r>
    </w:p>
    <w:p>
      <w:r>
        <w:rPr>
          <w:b/>
        </w:rPr>
        <w:t>E. 6</w:t>
      </w:r>
    </w:p>
    <w:p>
      <w:r>
        <w:t>Da es nicht um die Bewilligung oder Verweigerung von Versicherungsleistungen, sondern um eine Beitragsstreitigkeit geht, ist das Verfahren kostenpflichtig ( Art. 134 OG e contrario). Die unterliegende Beschwerdeführerin hat somit die Gerichtskosten zu tragen.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