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H_57/1999 vom 27. Dezember 2000</w:t>
      </w:r>
    </w:p>
    <w:p>
      <w:r>
        <w:t>Bundesgericht, 2000-12-27, DE</w:t>
      </w:r>
    </w:p>
    <w:p>
      <w:r>
        <w:rPr>
          <w:b/>
        </w:rPr>
        <w:t xml:space="preserve">Quelle: </w:t>
      </w:r>
      <w:r>
        <w:t>https://mcp.opencaselaw.ch/entscheid/bger_H_57_1999</w:t>
      </w:r>
    </w:p>
    <w:p>
      <w:r>
        <w:t>FR: TF H_57/1999 du 27 décembre 2000</w:t>
      </w:r>
    </w:p>
    <w:p>
      <w:r>
        <w:t>IT: TF H_57/1999 del 27 dicembre 2000</w:t>
      </w:r>
    </w:p>
    <w:p>
      <w:pPr>
        <w:pStyle w:val="Heading2"/>
      </w:pPr>
      <w:r>
        <w:t>Erwägungen</w:t>
      </w:r>
    </w:p>
    <w:p>
      <w:r>
        <w:rPr>
          <w:b/>
        </w:rPr>
        <w:t>E. 1</w:t>
      </w:r>
    </w:p>
    <w:p>
      <w:r>
        <w:t>a) Gemäss dem mit der 10. AHV-Revision am 1. Januar 1997 in Kraft getretenen Art. 29septies Abs. 1 AHVG haben Versicherte, welche im gemeinsamen Haushalt Verwandte in auf- oder absteigender Linie oder Geschwister mit einem Anspruch auf eine Hilflosenentschädigung der AHV oder IV für mindestens mittlere Hilflosigkeit betreuen, Anspruch auf Anrechnung einer Betreuungsgutschrift (Satz 1). Sie müssen diesen Anspruch jährlich schriftlich anmelden (Satz 2). Verwandten sind Ehegatten, Schwiegereltern und Stiefkinder gleichgestellt (Satz 3).</w:t>
      </w:r>
    </w:p>
    <w:p>
      <w:r>
        <w:t>b) Wird der Anspruch auf Betreuungsgutschrift nicht innert fünf Jahren nach Ablauf des Kalenderjahres angemeldet, in welchem eine Person betreut wurde, so wird die Gutschrift für das betreffende Jahr nicht mehr im individuellen Konto vermerkt ( Art. 29septies Abs. 5 AHVG ).</w:t>
      </w:r>
    </w:p>
    <w:p>
      <w:r>
        <w:t>Nach Art. 52k in Verbindung mit Art. 52f Abs. 1 AHVV werden während des Jahres, in dem der Anspruch entsteht, keine Betreuungsgutschriften angerechnet.</w:t>
      </w:r>
    </w:p>
    <w:p>
      <w:r>
        <w:rPr>
          <w:b/>
        </w:rPr>
        <w:t>E. 2</w:t>
      </w:r>
    </w:p>
    <w:p>
      <w:r>
        <w:t>a) Streitig und zu prüfen ist, ob die Beschwerdeführerin Anspruch auf Anrechnung von Betreuungsgutschriften für das Jahr 1997 hat. Dabei ist zu beachten, dass die IV-Stelle der Mutter der Versicherten mit während der Dauer des letztinstanzlichen Verfahrens ergangener Verfügung vom 18. Mai 1999 rückwirkend eine Hilflosenentschädigung für Hilflosigkeit mittleren Grades zugesprochen und festgestellt hat, der Anspruch auf Hilflosenentschädigung für Hilflosigkeit mittleren Grades sei mehrere Jahre vor der Anmeldung entstanden, denn die Mutter der Versicherten sei seit Jahren in fünf alltäglichen Lebensverrichtungen in erheblicher Weise auf die Hilfe Dritter angewiesen gewesen. Demzufolge konnte die Hilflosenentschädigung wegen verspäteter Anmeldung nur für die Zeit vom 1. November 1997 bis 28. Februar 1998 ausgerichtet werden.</w:t>
      </w:r>
    </w:p>
    <w:p>
      <w:r>
        <w:t>b) Die Ausgleichskasse vertritt mit Blick auf den Umstand, dass der Mutter der Versicherten lediglich für die Zeit ab 1. November 1997 Hilflosenentschädigung ausbezahlt worden ist, die Ansicht, der Anspruch auf Anrechnung von Betreuungsgutschriften sei ebenfalls erst im Jahr 1997 entstanden.</w:t>
      </w:r>
    </w:p>
    <w:p>
      <w:r>
        <w:t>Da das Jahr der Entstehung des Anspruchs nicht berücksichtigt werde, könne für das Jahr 1997 keine Betreuungsgutschrift gewährt werden.</w:t>
      </w:r>
    </w:p>
    <w:p>
      <w:r>
        <w:t>Demgegenüber macht das BSV geltend, dass eine Hilflosenentschädigung wegen verspäteter Anmeldung erst zu einem späteren Zeitpunkt zur Auszahlung gelange, vereitle die Anwendung von Art. 29septies Abs. 1 AHVG nicht. Für die Gewährung der Betreuungsgutschriften sei nicht in erster Linie massgebend, ob und wann der Anspruch auf eine Hilflosenentschädigung geltend gemacht worden sei. Im Vordergrund stehe vielmehr das Vorhandensein eines Pflegeverhältnisses und einer Pflegebedürftigkeit, weshalb vorliegend für das Jahr 1997 eine Betreuungsgutschrift anzurechnen sei.</w:t>
      </w:r>
    </w:p>
    <w:p>
      <w:r>
        <w:t>c) Die Beschwerdegegnerin verkennt, dass der Zeitpunkt der Entstehung des Anspruchs auf Anrechnung von Betreuungsgutschriften nicht mit dem Beginn der Leistung von Hilflosenentschädigung an die betreute Person zusammenfallen muss. Es stellt sich indessen die Frage, ob der Umstand, dass die der Mutter der Beschwerdeführerin zustehende Hilflosenentschädigung erst ab 1. November 1997 ausgerichtet wurde, der Anrechenbarkeit einer Betreuungsgutschrift für das Jahr 1997 entgegensteht.</w:t>
      </w:r>
    </w:p>
    <w:p>
      <w:r>
        <w:rPr>
          <w:b/>
        </w:rPr>
        <w:t>E. 3</w:t>
      </w:r>
    </w:p>
    <w:p>
      <w:r>
        <w:t>Das Gesetz ist in erster Linie nach seinem Wortlaut auszulegen. Ist der Text nicht ganz klar und sind verschiedene Auslegungen möglich, so muss nach seiner wahren Tragweite gesucht werden unter Berücksichtigung aller Auslegungselemente, namentlich des Zwecks, des Sinnes und der dem Text zu Grunde liegenden Wertung. Wichtig ist ebenfalls der Sinn, der einer Norm im Kontext zukommt. Vom klaren, d.h. eindeutigen und unmissverständlichen Wortlaut darf nur ausnahmsweise abgewichen werden, u.a. dann nämlich, wenn triftige Gründe dafür vorliegen, dass der Wortlaut nicht den wahren Sinn der Bestimmung wiedergibt. Solche Gründe können sich aus der Entstehungsgeschichte der Bestimmung, aus ihrem Grund und Zweck oder aus dem Zusammenhang mit andern Vorschriften ergeben ( BGE 125 II 196 Erw. 3a, 244 Erw. 5a, 125 V 130 Erw. 5, 180 Erw. 2a, je mit Hinweisen).</w:t>
      </w:r>
    </w:p>
    <w:p>
      <w:r>
        <w:t>Im Rahmen verfassungskonformer oder verfassungsbezogener Auslegung ist sodann, soweit mit den erwähnten normunmittelbaren Auslegungselementen vereinbar, rechtsprechungsgemäss der Gleichbehandlungsgrundsatz zu beachten, wobei der klare Sinn einer Gesetzesnorm nicht durch eine verfassungskonforme Auslegung beiseite geschoben werden darf ( BGE 126 V 97 Erw. 4b, 121 V 352 Erw. 5, 119 V 130 Erw. 5b, je mit Hinweisen). Begründet wird die verfassungskonforme Auslegung hauptsächlich mit der Einheit der Rechtsordnung und der Überordnung der Verfassung (Ulrich Häfelin, Die verfassungskonforme Auslegung und ihre Grenzen, in: Recht und Prozess als Gefüge, Festschrift für Hans Huber zum 80. Geburtstag, Bern 1981, S. 241-259, insbes. S. 242). Da die neue Bundesverfassung am Stufenbau der landesinternen Rechtsordnung grundsätzlich nichts geändert hat (Georg Müller, Formen der Rechtssetzung, in: Ulrich Zimmerli [Hrsg. ], Die neue Bundesverfassung, Konsequenzen für Praxis und Wissenschaft, Berner Tage für die juristische Praxis [BTJP] 1999, Bern 2000, S. 249-266, insbes. S. 250; vgl. auch Art. 182 Abs. 1 BV ), sind die Normen auch unter Geltung der neuen Bundesverfassung so auszulegen, dass sie mit deren Grundwerten übereinstimmen ( BGE 126 V 97 Erw. 4b).</w:t>
      </w:r>
    </w:p>
    <w:p>
      <w:r>
        <w:t>a) Dem Wortlaut des deutschen Art. 29septies Abs. 1 Satz 1 AHVG nach muss die betreute Person Anspruch auf eine Hilflosenentschädigung der Alters- und Hinterlassenen- oder der Invalidenversicherung für mindestens mittlere Hilflosigkeit haben. Dass sie die Hilflosenentschädigung auch tatsächlich beziehen muss, damit der versicherten Person Betreuungsgutschriften gewährt werden können, ergibt sich jedoch nicht aus dem Gesetzestext. Mit Blick darauf, dass bei der grammatikalischen Auslegung von der grundsätzlichen Gleichwertigkeit der drei Amtssprachen auszugehen ist (Art. 9 Abs. 1 des Bundesgesetzes vom 21. März 1986 über die Gesetzessammlungen und das Bundesblatt; SR 170. 512) und dass diesem Auslegungselement nur untergeordnete Bedeutung zukommt, wenn die drei verschiedenen sprachlichen Versionen nicht vollständig übereinstimmen oder sich gar widersprechen ( BGE 119 V 127 Erw. 4a mit Hinweis), ist zu prüfen, wie es sich mit der französischen und der italienischen Fassung verhält. Die französische Version lautet: "Les assurés qui prennent en charge des parents de ligne ascendante ou descendante ainsi que des frères et soeurs au bénéfice d'une allocation de l'AVS ou de l'AI pour impotent de degré moyen au moins et avec lesquels ils font ménage commun, peuvent prétendre à une bonification pour tâches d'assistance. " Nach dem italienischen Wortlaut werden Versicherten "(...) che si occupano di parenti di linea ascendente o discendente nonché di fratelli e sorelle che beneficiano di un assegno dell'AVS o dell'AI per grandi invalidi, con un'invalidità almeno di grado medio, e che vivono in comunione domestica con essi (...)" Betreuungsgutschriften gewährt. Die französische wie die italienische Fassung gehen somit, entgegen dem deutschen Text, davon aus, dass die betreute Person die Hilflosenentschädigung tatsächlich empfangen muss, damit der versicherten Person Betreuungsgutschriften angerechnet werden können.</w:t>
      </w:r>
    </w:p>
    <w:p>
      <w:r>
        <w:t>b) Zu prüfen ist des Weiteren, ob die Materialien zuverlässigen Aufschluss über die Auslegung des Art. 29septies Abs. 1 Satz 1 AHVG geben. Nach ständiger Rechtsprechung stellen sie, gerade bei jüngeren Gesetzen, ein wichtiges Erkenntnismittel dar, von dem im Rahmen der Auslegung stets Gebrauch zu machen ist ( BGE 125 V 131 Erw. 5 in fine mit Hinweisen). Sie können namentlich dann, wenn eine Bestimmung unklar ist oder verschiedene, einander widersprechende Auslegungen zulässt, ein wertvolles Hilfsmittel sein, um den Sinn der Norm zu erkennen und damit falsche Auslegungen zu vermeiden. Nach gefestigter Rechtsprechung sind sie aber für sich allein nicht geeignet, direkt auf den Rechtssinn einer Gesetzesbestimmung schliessen zu lassen, weil das Gesetz sich mit seinem Erlass von seinen Schöpfern löst und ein eigenständiges rechtliches Dasein entfaltet ( BGE 124 V 189 Erw. 3a). Schliesslich sind die Materialien als Auslegungshilfe nicht dienlich, wo sie keine klare Antwort geben ( BGE 124 V 190 Erw. 3a mit Hinweisen).</w:t>
      </w:r>
    </w:p>
    <w:p>
      <w:r>
        <w:t>In der bundesrätlichen Botschaft über die zehnte Revision der Alters- und Hinterlassenenversicherung vom 5. März 1990 (BBl 1990 II 1 ff.) war das Institut der Betreuungsgutschriften noch nicht vorgesehen. Erst im Verlaufe der parlamentarischen Beratung wurde es gestützt auf die Vorarbeiten der Kommission des Nationalrates als Bestandteil des neuen, grundsätzlich zivilstands- und geschlechtsunabhängigen Individual-Rentensystems mit Beitragssplitting aufgenommen (Amtl. Bull. 1993 N 207 ff.). Zur Vermeidung von Abgrenzungsschwierigkeiten und aufwändigen Abklärungen legte man Wert auf die Schaffung präziser Anspruchsvoraussetzungen und fand diese in der "Begrenzung des Personenkreises auf enge Verwandte und den zusätzlichen Anspruchsvoraussetzungen Hilflosenentschädigung mittleren Grades und Hausgemeinschaft" (Amtl. Bull. 1993 N 215, vgl. auch 233 und 256; Amtl. Bull. 1994 S 550 und 560). Diesen Absichten trägt bereits die deutsche Fassung des Art. 29septies Abs. 1 Satz 1 AHVG (vgl. Erw. 1 hievor) Rechnung. Eine zusätzliche Abgrenzung oder eine Verminderung des Abklärungsaufwandes wird durch die französische und die italienische Version (Erw. 3a hievor) nicht erreicht.</w:t>
      </w:r>
    </w:p>
    <w:p>
      <w:r>
        <w:t>Die Abweichung der deutschen von der französischen und der italienischen Fassung des Art. 29septies Abs. 1 Satz 1 AHVG wurde nicht erst in der Differenzbereinigung geschaffen, sondern bestand bereits in der ersten Version des Gesetzesartikels (vgl. die deutsche und französische Formulierung des von der Nationalratskommission beantragten Textes:</w:t>
      </w:r>
    </w:p>
    <w:p>
      <w:r>
        <w:t>Amtl. Bull. 1993 N 255 f.). Aus den Materialien ergeben sich keine Hinweise darauf, welche Aussage ursprünglich beabsichtigt war, noch lässt sich der Grund der unterschiedlichen Formulierung feststellen, weshalb anzunehmen ist, dass sie aus einer Ungenauigkeit in der Übersetzung entstanden ist.</w:t>
      </w:r>
    </w:p>
    <w:p>
      <w:r>
        <w:t>c) Die in Art. 29septies AHVG statuierten Betreuungsgutschriften werden auf Gesetzesstufe nicht näher konkretisiert. Die Verordnung enthält eine Umschreibung des Erfordernisses des gemeinsamen Haushaltes ( Art. 52g AHVV ) sowie eine Sonderbestimmung für versicherte Personen, welche Minderjährige pflegen ( Art. 52h AHVV ); ausserdem regelt sie die Aufteilung der Betreuungsgutschrift in Fällen, in denen mehrere Personen die Voraussetzungen für eine Anrechnung erfüllen ( Art. 52i AHVV ), sowie deren Festsetzung (Art. 52k in Verbindung mit Art. 52f AHVV ) und Anmeldung ( Art. 52l AHVV ). Für die vorliegend umstrittene Frage liefert die Systematik keine Aufschlüsse.</w:t>
      </w:r>
    </w:p>
    <w:p>
      <w:r>
        <w:t>d) Sinn und Zweck von Art. 29septies AHVG besteht darin, die Betreuung pflegebedürftiger Angehöriger, die regelmässig zu einer Beeinträchtigung der Erwerbsmöglichkeiten führt, als fiktives Einkommen bei der Rentenberechnung zu berücksichtigen und damit zu verhindern, dass die unentgeltliche Verrichtung von Betreuungsarbeit für nahe Angehörige den individuellen Rentenanspruch schmälert (Amtl. Bull. 1993 N 209; Thomas Locher, Grundriss des Sozialversicherungsrechts, 2. Aufl. , Bern 1997, § 36 N 34 f.). Die Anrechnung von Betreuungsgutschriften ist für die Pflege von Personen vorgesehen, die für die alltäglichen Lebensverrichtungen so sehr der Hilfe Dritter oder der persönlichen Überwachung bedürfen, dass bei ihnen die Anspruchsvoraussetzungen für eine Hilflosenentschädigung der Alters- und Hinterlassenen- oder der Invalidenversicherung gegeben sind. Mit dem Erfordernis der Hilflosigkeit mittleren Grades der betreuten Person wird das Vorliegen eines Mindestmasses an Pflegebedürftigkeit sowie gleichzeitig eines Mindestmasses an zeitlichem Pflegeaufwand sichergestellt. Steht der Anspruch der betreuten Person auf Hilflosenentschädigung für Hilflosigkeit mindestens mittleren Grades fest, sind diese Voraussetzungen erfüllt. Keine Rolle spielt dabei, ob die Hilflosenentschädigung tatsächlich bezogen wird.</w:t>
      </w:r>
    </w:p>
    <w:p>
      <w:r>
        <w:rPr>
          <w:b/>
        </w:rPr>
        <w:t>E. 4</w:t>
      </w:r>
    </w:p>
    <w:p>
      <w:r>
        <w:t>a) Aus dem Gesagten ergibt sich, dass die Materialien sowie der Sinn und Zweck der Bestimmung die auf dem deutschen Wortlaut des Art. 29septies Abs. 1 Satz 1 AHVG basierende Auslegung stützen, wonach der Anspruch auf Hilflosenentschädigung für mindestens mittlere Hilflosigkeit für die Anrechenbarkeit von Betreuungsgutschriften genügt und der Bezug der Hilflosenentschädigung nicht vorausgesetzt wird. Dieses Auslegungsergebnis wird durch die Grundsätze der verfassungskonformen oder verfassungsbezogenen Auslegung bestätigt, da das Abstellen auf die französische oder italienische Fassung der Norm zu einer sachlich nicht gerechtfertigten Ungleichbehandlung zwischen den Versicherten, welche eine Person betreuen, die zwar einen Anspruch auf eine Hilflosenentschädigung für Hilflosigkeit mittleren Grades hat, die Hilflosenentschädigung aber nicht bezieht, und denjenigen, welche eine Person betreuen, die in den Genuss einer Hilflosenentschädigung für Hilflosigkeit mindestens mittleren Grades kommen, führen würde. Denn Pflegebedürftigkeit und Pflegeaufwand sind in beiden Fällen gleich gross.</w:t>
      </w:r>
    </w:p>
    <w:p>
      <w:r>
        <w:t>b) Dem BSV kann somit insoweit beigepflichtet werden, als es die Anrechnung von Betreuungsgutschriften auch in Fällen als zulässig erachtet, in denen die betreute Person die Hilflosenentschädigung wegen verspäteter Anmeldung nicht oder erst zu einem späteren Zeitpunkt beziehen kann. Im zu beurteilenden Fall ist den Anforderungen an den Nachweis der grossen Pflegebedürftigkeit der betreuten Person mittels der in einem Verwaltungsverfahren - rechtskräftig - festgestellten langjährigen Hilflosigkeit der von der Beschwerdeführerin betreuten Mutter zweifellos Genüge getan, zumal die Ausgleichskasse gegen das Abklärungsergebnis der IV-Stelle zur Hilflosigkeit keine Einwendungen erhebt. Deshalb kann im vorliegenden Prozess offen bleiben, ob der Anspruch auf Hilflosenentschädigung mindestens mittleren Grades notwendigerweise in dieser Form von der jeweils zuständigen Verwaltungsbehörde festgestellt worden sein muss, damit die Anspruchsvoraussetzungen des Art. 29septies Abs. 1 AHVG als erfüllt gelten können.</w:t>
      </w:r>
    </w:p>
    <w:p>
      <w:r>
        <w:rPr>
          <w:b/>
        </w:rPr>
        <w:t>E. 5</w:t>
      </w:r>
    </w:p>
    <w:p>
      <w:r>
        <w:t>Die IV-Stelle hat am 18. Mai 1999 erkannt, dass die am 5. Februar 1998 verstorbene Mutter der Versicherten vor ihrem Tod mehrere Jahre in mittelschwerem Grad hilflos gewesen war. Der Anspruch auf eine Hilflosenentschädigung entsteht am ersten Tag des Monats, in dem sämtliche Voraussetzungen erfüllt sind und die Hilflosigkeit schweren oder mittleren Grades ununterbrochen während mindestens eines Jahres bestanden hat ( Art. 43bis Abs. 2 AHVG ). Es steht fest, dass der Anspruch auf Hilflosenentschädigung bereits vor 1997 entstanden ist und die Hilflosenentschädigung einzig darum erst ab 1. November 1997 ausgerichtet wurde, weil die Anmeldung zum Bezug von Hilflosenentschädigung verspätet erfolgt war ( Art. 46 Abs. 2 AHVG ). Dass diese - unbestrittenen - Tatsachen erst nach der Verfügung der Beschwerdegegnerin vom 20. Oktober 1998 bekannt wurden, steht ihrer Beachtlichkeit im letztinstanzlichen Verfahren nicht entgegen.</w:t>
      </w:r>
    </w:p>
    <w:p>
      <w:r>
        <w:t>Wie die Ausgleichskasse zutreffend ausführt, werden während des Jahres, in dem der Anspruch entsteht, keine Betreuungsgutschriften angerechnet (Art. 52k in Verbindung mit Art. 52f Abs. 1 AHVV ; vgl. Erw. 1b hievor). Die Beschwerdeführerin erfüllt allerdings die Voraussetzungen zur Anrechnung von Betreuungsgutschriften nicht erst seit 1997. Sie hat ihre seit längerer Zeit in mittlerem Grad hilflos gewesene Mutter auch schon im Jahr 1996 betreut und die Betreuungsgutschrift für das Jahr 1997 rechtzeitig ( Art. 29septies Abs. 5 AHVG ) angemeldet. Da ihr Anspruch auf die Gewährung von Betreuungsgutschriften somit vor 1997 entstanden ist, hat sie - entsprechend ihrer Anmeldung vom 11. September 1998 - ein Recht auf Anrechnung einer Betreuungsgutschrift für das Jahr 1997.</w:t>
      </w:r>
    </w:p>
    <w:p>
      <w:r>
        <w:t>Demnach erkennt das Eidg. Versicherungsgericht:</w:t>
      </w:r>
    </w:p>
    <w:p>
      <w:r>
        <w:t>I. In Gutheissung der Verwaltungsgerichtsbeschwerde werden der Entscheid der AHV/IV-Rekurskommission des Kantons Thurgau vom 14. Januar 1999 und die Verfügung der Ausgleichskasse des Kantons Thurgau vom 20. Oktober 1998 aufgehoben, und es wird festgestellt, dass die Beschwerdeführerin Anspruch auf Anrechnung einer Betreuungsgutschrift für das Jahr 1997 hat.</w:t>
      </w:r>
    </w:p>
    <w:p>
      <w:r>
        <w:t>II. Es werden keine Gerichtskosten erhoben.</w:t>
      </w:r>
    </w:p>
    <w:p>
      <w:r>
        <w:t>III. Dieses Urteil wird den Parteien, der AHV/IV-Rekurskommission des Kantons Thurgau und dem Bundesamt für Sozialversicherung zugestellt.</w:t>
      </w:r>
    </w:p>
    <w:p>
      <w:r>
        <w:t>Luzern, 27. Dezember 2000</w:t>
      </w:r>
    </w:p>
    <w:p>
      <w:r>
        <w:t>Im Namen des</w:t>
      </w:r>
    </w:p>
    <w:p>
      <w:r>
        <w:t>Eidgenössischen Versicherungsgerichts</w:t>
      </w:r>
    </w:p>
    <w:p>
      <w:r>
        <w:t>Der Präsident der I. Kammer:</w:t>
      </w:r>
    </w:p>
    <w:p>
      <w:r>
        <w:t>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