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H_56/2001 vom 7. Februar 2003</w:t>
      </w:r>
    </w:p>
    <w:p>
      <w:r>
        <w:t>Bundesgericht, 2003-02-07, DE</w:t>
      </w:r>
    </w:p>
    <w:p>
      <w:r>
        <w:rPr>
          <w:b/>
        </w:rPr>
        <w:t xml:space="preserve">Quelle: </w:t>
      </w:r>
      <w:r>
        <w:t>https://mcp.opencaselaw.ch/entscheid/bger_H_56_2001</w:t>
      </w:r>
    </w:p>
    <w:p>
      <w:r>
        <w:t>FR: TF H_56/2001 du 7 février 2003</w:t>
      </w:r>
    </w:p>
    <w:p>
      <w:r>
        <w:t>IT: TF H_56/2001 del 7 febbraio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Alters- und Hinterlassenenversicherungsbereich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Zu prüfen ist die Rechtmässigkeit der Nachzahlungsverfügungen vom 30. Juni 1998. Dabei ist zwischen den Parteien insbesondere streitig, ob die durch die Beschwerdegegnerin an ihre Arbeitnehmer ausgerichteten Pauschalspesen für Fahrkosten zwischen Wohn- und Arbeitsort, privaten Gesangs-, Schauspiel- und Tanzunterricht, Verpflegung, Reinigung der Kostüme etc. Unkostenentschädigungen gemäss Art. 7 AHVV sind oder ob sie ganz oder zumindest teilweise zum massgebenden Lohn im Sinne von Art. 5 Abs. 2 AHVG gehören und deshalb in die Abrechnung der Sozialversicherungsbeiträge miteinbezogen werden müssen.</w:t>
      </w:r>
    </w:p>
    <w:p>
      <w:r>
        <w:t>Die Vorinstanz wies die Sache an die Ausgleichskasse zurück, damit sie - gestützt auf das Ergebnis der von der Verwaltung ergänzend vorzunehmenden Abklärungen - neue Verfügungen erlasse, welche sie alsdann nicht nur der Arbeitgeberin, sondern auch den Mitarbeitern zuzustellen habe. Dagegen wendet die Beschwerdeführerin ein, von der Nachforderung sei eine grosse Zahl von Arbeitnehmern betroffen, deren Wohnsitz nicht bekannt sei; zudem handle es sich bei den Nachforderungen mehrheitlich um geringfügige Beiträge. Es liege demzufolge ein Ausnahmefall im Sinne der Rechtsprechung vor, weshalb auf die Zustellung der Verfügungen an die Mitarbeiter habe verzichtet werden können. Unter diesen Umständen habe die Vorinstanz nicht auf Rückweisung der Sache an die Beschwerdeführerin schliessen dürfen, sondern hätte die Arbeitnehmer beiladen und die allenfalls noch notwendigen Sachverhaltsabklärungen selber vornehmen müssen.</w:t>
      </w:r>
    </w:p>
    <w:p>
      <w:r>
        <w:rPr>
          <w:b/>
        </w:rPr>
        <w:t>E. 4.1</w:t>
      </w:r>
    </w:p>
    <w:p>
      <w:r>
        <w:t>Die Ausgleichskassen haben die Arbeitgeber periodisch auf die Einhaltung ihrer gesetzlichen Pflichten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w:t>
      </w:r>
    </w:p>
    <w:p>
      <w:r>
        <w:rPr>
          <w:b/>
        </w:rPr>
        <w:t>E. 4.2</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w:t>
      </w:r>
    </w:p>
    <w:p>
      <w:r>
        <w:rPr>
          <w:b/>
        </w:rPr>
        <w:t>E. 5.1</w:t>
      </w:r>
    </w:p>
    <w:p>
      <w:r>
        <w:t>Die Beschwerdeführerin begründet das Vorliegen eines Ausnahmefalles im Sinne der Rechtsprechung, bei welchem sich die Zustellung der Nachforderungsverfügungen an die einzelnen Arbeitnehmer erübrigt, zunächst mit der grossen Anzahl der Betroffenen, deren Wohnsitz nicht bekannt sei. Die Vorinstanz habe festgestellt, dass bei 7 der 32 im Jahr 1995 und 9 der 36 im Jahr 1996 beschäftigten Personen die Zustelladressen aus den Akten nicht ersichtlich seien. Eine von der Ausgleichskasse vorgenommene summarische Prüfung mittels der neusten Ausgabe des elektronischen Telefonbuches habe ergeben, dass 16 der 45 Mitarbeiter darin nicht verzeichnet seien.</w:t>
      </w:r>
    </w:p>
    <w:p>
      <w:r>
        <w:t>Nur wenn ein erheblicher und erfolgloser Aufwand für die Suche nach den gültigen Zustelladressen getätigt worden ist, kann von einem Ausnahmefall im Sinne der Rechtsprechung ausgegangen werden. Im vorliegenden Fall hat die Arbeitgeberin der Ausgleichskasse eine Liste abgegeben, in welcher Namen und Adressen von 37 Tänzern und Solisten verzeichnet sind. Aus den Akten sind keine weitergehenden Abklärungen hinsichtlich der Anschriften der weiteren acht betroffenen Mitarbeiter ersichtlich. Weder wurde versucht, die Arbeitgeberin zur Ermittlung der fehlenden Wohnadressen beizuziehen, noch wurden Nachforschungen bei den Einwohnergemeinden getätigt. Bei dieser Sachlage kann noch keine Unmöglichkeit der Zustellung der Verfügungen an die Arbeitnehmer angenommen werden.</w:t>
      </w:r>
    </w:p>
    <w:p>
      <w:r>
        <w:rPr>
          <w:b/>
        </w:rPr>
        <w:t>E. 5.2</w:t>
      </w:r>
    </w:p>
    <w:p>
      <w:r>
        <w:t>Sodann bringt die Ausgleichskasse vor, bei den Nachforderungen handle es sich mehrheitlich um geringfügige Beiträge. Die möglicherweise beitragsbelasteten Leistungen würden zwischen Fr. 240.- und Fr. 22'070.-, im Durchschnitt pro Arbeitnehmerin und Arbeitnehmer Fr. 12'400.-, betragen.</w:t>
      </w:r>
    </w:p>
    <w:p>
      <w:r>
        <w:t>Die Beschwerdeführerin fordert für die Jahre 1995 bis 1997 die Nachzahlung von Sozialversicherungsbeiträgen in der Höhe von insgesamt Fr. 81'167.35. Dabei geht sie von einer beitragspflichtigen Lohnsumme von Fr. 557'305.- aus, entsprechend den als Spesenentschädigungen an die Arbeitnehmer ausgerichteten, nach Ansicht der Ausgleichskasse zum massgebenden Lohn im Sinne von Art. 5 Abs. 2 AHVG gehörenden Zahlungen. Von einer Geringfügigkeit der Beiträge kann unter diesen Umständen nicht die Rede sein. Daran vermag nichts zu ändern, dass die geforderten Nachzahlungen für eine (kleine) Minderheit der Arbeitnehmer als niedrig qualifiziert werden können.</w:t>
      </w:r>
    </w:p>
    <w:p>
      <w:r>
        <w:rPr>
          <w:b/>
        </w:rPr>
        <w:t>E. 5.3</w:t>
      </w:r>
    </w:p>
    <w:p>
      <w:r>
        <w:t>Schliesslich macht die Beschwerdeführerin geltend, auch das Ausnahmekriterium der grossen Anzahl von Mitarbeitern sei erfüllt. Die Praxis sehe die Grenze bei etwa zehn Arbeitnehmern, was in der Literatur (Kieser, Das Verwaltungsverfahren in der Sozialversicherung, Zürich 1999, S. 144 f. Fn 774) allerdings als wesentlich zu tief eingestuft werde.</w:t>
      </w:r>
    </w:p>
    <w:p>
      <w:r>
        <w:t>Die Rechtsprechung lässt offen, welche Menge betroffener Personen im Allgemeinen als grosse Anzahl zu qualifizieren wäre. Zu prüfen ist jeweils im Einzelfall, ob der Ausgleichskasse das Erstellen und der Versand der Verfügungen an die Arbeitnehmer aus praktischen Gründen zugemutet werden kann. Von den Nachtragsverfügungen sind vorliegend 45 Arbeitnehmer betroffen. Angesichts der Möglichkeiten der elektronischen Datenverwaltung wäre das Verschicken von 45 einzelnen Verfügungen an die Mitarbeiter der Beschwerdegegnerin nicht mit einem unzumutbar hohen Aufwand für die Ausgleichskasse verbunden gewesen.</w:t>
      </w:r>
    </w:p>
    <w:p>
      <w:r>
        <w:rPr>
          <w:b/>
        </w:rPr>
        <w:t>E. 6</w:t>
      </w:r>
    </w:p>
    <w:p>
      <w:r>
        <w:t>Nach dem Gesagten liegt keine Ausnahme im Sinne der Rechtsprechung vor, welche es der Ausgleichskasse erlaubt hätte, von einer Zustellung der Nachzahlungsverfügungen an die Arbeitnehmer abzusehen.</w:t>
      </w:r>
    </w:p>
    <w:p>
      <w:r>
        <w:rPr>
          <w:b/>
        </w:rPr>
        <w:t>E. 7</w:t>
      </w:r>
    </w:p>
    <w:p>
      <w:r>
        <w:t>Eventualiter verlangt die Beschwerdeführerin, die Vorinstanz sei zu verpflichten, die notwendigen Abklärungen selber durchzuführen.</w:t>
      </w:r>
    </w:p>
    <w:p>
      <w:r>
        <w:t>Es liegt gemäss Rechtsprechung im Ermessen des kantonalen Gerichts, ob es die Sache zurückweisen oder die Arbeitnehmer beiladen und materiell entscheiden will. Soweit der Anspruch auf das rechtliche Gehör gewahrt bleibt, schreibt das Bundesrecht der kantonalen Gerichtsinstanz nicht vor, welcher Weg zu beschreiten ist ( BGE 113 V 6 Erw. 4a in fine). Die vorinstanzliche Rückweisung der Sache an die Ausgleichskasse ist deshalb rechtens.</w:t>
      </w:r>
    </w:p>
    <w:p>
      <w:r>
        <w:rPr>
          <w:b/>
        </w:rPr>
        <w:t>E. 8</w:t>
      </w:r>
    </w:p>
    <w:p>
      <w:r>
        <w:t>Da es vorliegend nicht um die Bewilligung oder Verweigerung von Versicherungsleistungen geht (Erw. 2 hiervor), ist das Verfahren kostenpflichtig ( Art. 134 OG e contrario). Die unterliegende Beschwerdeführerin hat die Gerichtskosten zu tragen (Art. 156 Abs. 1 in Verbindung mit Art. 135 OG ). Die Beschwerdegegnerin hat mit Blick auf ihren geringen Aufwand im letztinstanzlichen Verfahren Anspruch auf eine reduzierte Parteientschädigung (Art. 159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