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H_46/2005 vom 8. Mai 2006</w:t>
      </w:r>
    </w:p>
    <w:p>
      <w:r>
        <w:t>Bundesgericht, 2006-05-08, DE</w:t>
      </w:r>
    </w:p>
    <w:p>
      <w:r>
        <w:rPr>
          <w:b/>
        </w:rPr>
        <w:t xml:space="preserve">Quelle: </w:t>
      </w:r>
      <w:r>
        <w:t>https://mcp.opencaselaw.ch/entscheid/bger_H_46_2005</w:t>
      </w:r>
    </w:p>
    <w:p>
      <w:r>
        <w:t>FR: TF H_46/2005 du 8 mai 2006</w:t>
      </w:r>
    </w:p>
    <w:p>
      <w:r>
        <w:t>IT: TF H_46/2005 del 8 maggio 2006</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Streitig und zu prüfen ist, ob der ausserordentliche Sanierungsgewinn von Fr. 544'343.- infolge Schuldenerlasses beitragspflichtiges Einkommen aus selbstständiger Erwerbstätigkeit darstellt. Massgebend sind dabei gemäss den üblichen intertemporalrechtlichen Grundsätzen diejenigen Rechtssätze, die bei Verwirklichung des zu Rechtsfolgen führenden Sachverhalts galten ( BGE 129 V 4 Erw. 1.2 mit Hinweisen).</w:t>
      </w:r>
    </w:p>
    <w:p>
      <w:r>
        <w:rPr>
          <w:b/>
        </w:rPr>
        <w:t>E. 3</w:t>
      </w:r>
    </w:p>
    <w:p>
      <w:r>
        <w:t>Einkommen aus selbstständiger Erwerbstätigkeit ist jedes Erwerbseinkommen, das nicht Entgelt für in unselbstständiger Stellung geleistete Arbeit darstellt ( Art. 9 Abs. 1 AHVG in der seit 1. Januar 1948 geltenden, unverändert gebliebenen Fassung). Darunter fallen laut Art. 17 AHVV (in der bis 31. Dezember 1994 gültig gewesenen Fassung) das in selbstständiger Stellung erzielte Einkommen aus Land- und Forstwirtschaft, Handel, Gewerbe, Industrie und freien Berufen, einschliesslich eingetretene und verbuchte Wertvermehrungen und Kapitalgewinne von zur Führung kaufmännischer Bücher verpflichteten Unternehmungen (lit. d).</w:t>
      </w:r>
    </w:p>
    <w:p>
      <w:r>
        <w:t>Gestützt auf diese Rechtslage hat das Eidgenössische Versicherungsgericht im Jahr 1972 entschieden, dass anders als bei der Wehrsteuer, welcher das gesamte Einkommen einer steuerpflichtigen Person unterstellt war, nur das Erwerbseinkommen beitragspflichtiges Einkommen ist. Als solches gelten die Einkünfte, die der versicherten Person aus einer Tätigkeit zufliessen und dadurch ihre wirtschaftliche Leistungsfähigkeit erhöhen. Die grundsätzliche Verbindlichkeit der Steuermeldung, welche auf Grund der rechtskräftigen Veranlagung über die direkte Bundessteuer erstattet wird ( Art. 23 Abs. 4 AHVV ), kann daher nur insoweit gelten, als überhaupt Erwerbseinkommen vorliegt, was die Ausgleichskasse ohne Bindung an die steuerliche Einschätzung zu prüfen hat. Ob der Erlass einer Geschäftsschuld beitragspflichtiges Einkommen darstellt, hängt davon ab, ob es sich um ein Entgelt für eine Tätigkeit des Schuldners im Interesse des verzichtenden Gläubigers handelt. Im konkreten Fall, wo der Schulderlass vor allem mit Rücksicht auf die voraussichtliche Uneinbringlichkeit der Forderung erklärt worden war, lag kein Entgelt für eine Tätigkeit und damit auch kein beitragspflichtiges Einkommen vor ( BGE 98 V 186 ).</w:t>
      </w:r>
    </w:p>
    <w:p>
      <w:r>
        <w:t>Mit Inkrafttreten des Bundesgesetzes über die direkte Bundessteuer (DBG; SR 642.11) am 1. Januar 1995 sind auch die Art. 17 ff. AHVV geändert worden (AS 1994 2163). Nach dem neuen Art. 17 gelten als Einkommen aus selbstständiger Erwerbstätigkeit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DBG und der Gewinne aus der Veräusserung von land- und forstwirtschaftlichen Grundstücken nach Art. 18 Abs. 4 DBG ; mit Änderung vom 1. März 2000 (AS 2000 1441) wurde Art. 17 AHVV insoweit ergänzt, als dass Einkünfte aus zu Geschäftsvermögen erklärten Beteiligungen nach Art. 18 Abs. 2 DBG vom beitragspflichtigen Einkommen ausgenommen wurden.</w:t>
      </w:r>
    </w:p>
    <w:p>
      <w:r>
        <w:t>Mit Urteil H. vom 2. Dezember 2004, H 174/04, hat das Eidgenössische Versicherungsgericht entschieden, dass Vermögensänderungen, welche aus dem Forderungsverzicht eines Gläubigers resultieren, steuerbares und somit beitragspflichtiges Einkommen darstellen.</w:t>
      </w:r>
    </w:p>
    <w:p>
      <w:r>
        <w:t>In seinem Urteil S. vom 6. Juli 2005, H 17/05, hat das Eidgenössische Versicherungsgericht seine Rechtsprechung bestätigt, wonach die Ausgleichskasse hinsichtlich der Qualifikationsfrage, ob überhaupt Erwerbseinkommen (und nicht beitragsfreier Kapitalertrag) vorliege, nicht an die steuerrechtliche Betrachtungsweise gebunden ist, so wenig wie in Bezug auf die Abgrenzung zwischen Geschäfts- und Privatvermögen oder das Vorliegen selbstständiger oder unselbstständiger Erwerbstätigkeit. Von diesen Ausnahmen abgesehen brachte das Gericht den Begriff des Einkommens aus selbstständiger Erwerbstätigkeit in Übereinstimmung mit dem steuerrechtlichen. Weiters schloss es daraus, dass der Forderungsverzicht zu Gunsten einer selbstständigerwerbenden Person immer dann beitragspflichtiges Erwerbseinkommen darstellt, wenn er eine Geschäftsschuld betrifft. Hingegen führt ein Schulderlass dann nicht zur Annahme eines selbstständigen Erwerbseinkommens, wenn es sich um eine Privatschuld handelt, die mit der selbstständigen Erwerbstätigkeit in keinem Zusammenhang steht.</w:t>
      </w:r>
    </w:p>
    <w:p>
      <w:r>
        <w:rPr>
          <w:b/>
        </w:rPr>
        <w:t>E. 4</w:t>
      </w:r>
    </w:p>
    <w:p>
      <w:r>
        <w:t>Der von der Ausgleichskasse als beitragspflichtiges Einkommen qualifizierte Sanierungsgewinn setzt sich aus Forderungsverzichten mehrerer Banken gemäss Vereinbarung vom 9. Juli 1997 zusammen und wurde ordnungsgemäss verbucht (vgl. Geschäftsabschluss 1996/97). Wie sich aus der in Rechtskraft erwachsenen Veranlagung für die Steuerperiode 1999/2000 mit den Bemessungsjahren 1997/98 ergibt, wurde der Gesamtbetrag der erlassenen Schulden als steuerpflichtiges Einkommen qualifiziert (vgl. Auszug aus der Veranlagung 1999/2000 sowie Steuermeldung vom 18. Oktober 2001 und Bestätigung des Gemeindesteueramtes vom 13. Mai 2002). Diese Forderungsverzichte seitens der Banken stehen somit in Zusammenhang mit der geschäftlichen Tätigkeit des Beschwerdeführers und stellen demzufolge beitragspflichtiges Erwerbseinkommen im Sinne der oben dargelegten Rechtsprechung dar. Daran ändert auch der Einwand des Beschwerdeführers nichts, der Begriff "Sanierungsgewinn" könne nur bei juristischen Personen verwendet werden. Denn es kommt nicht auf die tatsächliche Bezeichnung, sondern vielmehr auf die wirtschaftliche Betrachtungsweise an (vgl. etwa im Zusammenhang mit der Unterscheidung von selbstständiger und unselbstständiger Erwerbstätigkeit BGE 123 V 163 Erw. 1 mit Hinweisen); vorliegend ist der Sanierungsgewinn denn auch nicht das Ergebnis eines rein buchhalterischen Vorgangs, sondern erhöht offensichtlich die wirtschaftliche Leistungsfähigkeit des Beschwerdeführers.</w:t>
      </w:r>
    </w:p>
    <w:p>
      <w:r>
        <w:rPr>
          <w:b/>
        </w:rPr>
        <w:t>E. 5</w:t>
      </w:r>
    </w:p>
    <w:p>
      <w:r>
        <w:t>Das Eidgenössische Versicherungsgericht hält an der Unzulässigkeit der periodenübergreifenden Verrechnung von Verlusten im Rahmen der AHV-Beiträge (EVGE 1960 S. 29 und seither ergangene Urteile, zuletzt Urteil R. vom 4. Dezember 2003, H 255/03) fest. Daran ändern weder die zum Teil wörtliche Übernahme steuerrechtlicher Normen in die AHVV noch die grundsätzlich angestrebte Harmonisierung zwischen Steuer- und AHV-Recht etwas. Denn Art. 18 AHVV enthält keinen uneingeschränkten Verweis auf das Steuerrecht. Die in Abs. 1 dieser Bestimmung genannten Begriffe "Ausscheidung" und "Ausmass" beziehen sich vielmehr darauf, welche zulässigen Abzüge und in welcher Höhe sie für die Festsetzung des beitragspflichtigen Einkommens zu berücksichtigen sind; den zeitlichen Rahmen, in welchem diese zulässigen Abzüge einkommensmindernd wirken sollen, erfasst der Verweis nicht. Demnach ist Art. 31 DBG ahv-rechtlich nicht anwendbar. Zu beachten ist stets auch, dass die Sozialversicherungsbeiträge auf Grund des aktuellen Erwerbseinkommens zu entrichten sind; die periodenübergreifende Verrechnung wäre ein Verstoss gegen diesen Grundsatz. Nicht ausser Acht gelassen werden können auch die unterschiedlichen Zweckbestimmungen von DBG (Bereitstellen der nötigen Finanzmittel zur Erfüllung staatlicher Aufgaben) und AHVG (Vorsorge für die Risiken Alter und Tod) und somit die allfälligen Folgen einer periodenübergreifenden Verlustverrechnung auf spätere Leistungen der AHV; denn anders als im Steuerrecht besteht im AHV-Bereich auf Grund des Vorsorgegedankens ein Konnex zwischen den entrichteten Beiträgen und den späteren Leistungen. Diese Überlegungen zum Einfluss der Verrechnung von Geschäftsverlusten auf spätere Renten lagen bereits EVGE 1960 S. 29 zu Grunde. Eine Rechtsprechungsänderung darf aber nur in Gesamtwürdigung ihrer Auswirkungen erfolgen.</w:t>
      </w:r>
    </w:p>
    <w:p>
      <w:r>
        <w:rPr>
          <w:b/>
        </w:rPr>
        <w:t>E. 6</w:t>
      </w:r>
    </w:p>
    <w:p>
      <w:r>
        <w:t>Da es nicht um die Bewilligung oder Verweigerung von Leistungen geht, ist das Verfahren kostenpflichtig ( Art. 134 OG e contrario). Der unterliegende Beschwerdeführer hat demnach die Gerichtskosten zu tragen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