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449/00 vom 29. Oktober 2002</w:t>
      </w:r>
    </w:p>
    <w:p>
      <w:r>
        <w:t>Bundesgericht, 2002-10-29, DE</w:t>
      </w:r>
    </w:p>
    <w:p>
      <w:r>
        <w:rPr>
          <w:b/>
        </w:rPr>
        <w:t xml:space="preserve">Quelle: </w:t>
      </w:r>
      <w:r>
        <w:t>https://mcp.opencaselaw.ch/entscheid/bger_H_449_00</w:t>
      </w:r>
    </w:p>
    <w:p>
      <w:r>
        <w:t>FR: TF H 449/00 du 29 octobre 2002</w:t>
      </w:r>
    </w:p>
    <w:p>
      <w:r>
        <w:t>IT: TF H 449/00 del 29 ottobre 2002</w:t>
      </w:r>
    </w:p>
    <w:p>
      <w:pPr>
        <w:pStyle w:val="Heading2"/>
      </w:pPr>
      <w:r>
        <w:t>Regeste</w:t>
      </w:r>
    </w:p>
    <w:p>
      <w:r>
        <w:t>Alters- und Hinterlassenenversicherung</w:t>
      </w:r>
    </w:p>
    <w:p>
      <w:pPr>
        <w:pStyle w:val="Heading2"/>
      </w:pPr>
      <w:r>
        <w:t>Erwägungen</w:t>
      </w:r>
    </w:p>
    <w:p>
      <w:r>
        <w:rPr>
          <w:b/>
        </w:rPr>
        <w:t>E. 1.1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1.2</w:t>
      </w:r>
    </w:p>
    <w:p>
      <w:r>
        <w:t>Auf die Verwaltungsgerichtsbeschwerde kann nur so weit eingetreten werden, als die Schadenersatzforderung kraft Bundesrechts streitig ist. Im vorliegenden Verfahren ist deshalb auf die Verwaltungsgerichtsbeschwerde in dem Umfang nicht einzutreten, als sie sich gegen die Schadenersatzforderung für entgangene Beiträge an die kantonale Familienausgleichskasse richtet (vgl. BGE 124 V 146 Erw. 1 mit Hinweis).</w:t>
      </w:r>
    </w:p>
    <w:p>
      <w:r>
        <w:rPr>
          <w:b/>
        </w:rPr>
        <w:t>E. 2</w:t>
      </w:r>
    </w:p>
    <w:p>
      <w:r>
        <w:t>Der Beschwerdeführer rügt unter anderem, das kantonale Gericht habe sein rechtliches Gehör verletzt. Der Anspruch auf rechtliches Gehör ist formeller Natur. Seine Verletzung führt ungeachtet der Erfolgsaussichten der Beschwerde in der Sache selbst zur Aufhebung des angefochtenen Entscheids ( BGE 126 V 132 Erw. 2b mit Hinweisen). Die vom Beschwerdeführer geltend gemachte Verletzung des rechtlichen Gehörs ist deshalb vorweg zu prüfen.</w:t>
      </w:r>
    </w:p>
    <w:p>
      <w:r>
        <w:rPr>
          <w:b/>
        </w:rPr>
        <w:t>E. 2.1</w:t>
      </w:r>
    </w:p>
    <w:p>
      <w:r>
        <w:t>Das vorinstanzliche Verfahren wurde im Jahre 1999 anhängig gemacht und per 20. November 2000 entschieden. Ob bezüglich des Anspruchs auf rechtliches Gehör somit die auf den 1. Januar 2000 in Kraft getretene neue Bundesverfassung (BV) vom 18. April 1999 (Art. 29 Abs. 2) oder noch die Bundesverfassung vom 29. Mai 1874 (aBV) (Art. 4) Anwendung findet, braucht indes nicht abschliessend beantwortet zu werden, ist die unter der Herrschaft von Art. 4 aBV hiezu ergangene Rechtsprechung (vgl. BGE 120 V 362 Erw. 2a) doch nach wie vor massgeblich ( BGE 126 V 130 Erw. 2a mit Hinweisen).</w:t>
      </w:r>
    </w:p>
    <w:p>
      <w:r>
        <w:rPr>
          <w:b/>
        </w:rPr>
        <w:t>E. 2.2</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127 I 56 Erw. 2b, 127 III 578 Erw. 2c, 126 V 130 Erw. 2a; zu Art. 4 Abs. 1 aBV ergangene, weiterhin geltende Rechtsprechung: BGE 126 I 16 Erw. 2a/aa, 124 V 181 Erw. 1a, 375 Erw. 3b, je mit Hinweisen).</w:t>
      </w:r>
    </w:p>
    <w:p>
      <w:r>
        <w:rPr>
          <w:b/>
        </w:rPr>
        <w:t>E. 2.3</w:t>
      </w:r>
    </w:p>
    <w:p>
      <w:r>
        <w:t>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 BGE 127 V 437 Erw. 3d/aa, 126 I 72, 126 V 132 Erw. 2b, je mit Hinweisen).</w:t>
      </w:r>
    </w:p>
    <w:p>
      <w:r>
        <w:rPr>
          <w:b/>
        </w:rPr>
        <w:t>E. 2.4</w:t>
      </w:r>
    </w:p>
    <w:p>
      <w:r>
        <w:t>Art. 29 Abs. 2 BV verschafft einer bedürftigen Partei in einem für sie nicht aussichtslosen Verfahren den Anspruch auf unentgeltliche Rechtspflege, der auch die Vertretung durch einen unentgeltlichen Rechtsbeistand umfasst, sofern ein solcher zur gehörigen Interessenwahrung erforderlich ist. Dieser Anspruch gilt nach der Rechtsprechung des Bundesgerichts als verfassungsmässige Minimalgarantie auch in Verwaltungsverfahren (vgl. BGE 125 II 274 Erw. 4a, 124 I 306 Erw. 2a).</w:t>
      </w:r>
    </w:p>
    <w:p>
      <w:r>
        <w:rPr>
          <w:b/>
        </w:rPr>
        <w:t>E. 3.1</w:t>
      </w:r>
    </w:p>
    <w:p>
      <w:r>
        <w:t>Seine vorinstanzliche Klageantwort vom 15. April 1999 leitete der Beschwerdeführer mit folgenden Sätzen ein: "In meiner Stellungnahme zu den von der Klägerin vorgebrachten Forderungsgründen möchte ich vorausschicken, dass ich als AHV-Rentner und EL-Bezüger kein Vermögen besitze und somit finanziell ausserstande bin, einen erfahrenen Anwalt zur Wahrung meiner Rechte einzusetzen. Es entzieht sich meiner Kenntnis, ob in diesem Falle unentgeltliche Rechtshilfe möglich ist." Damit hat er eine unentgeltliche Rechtsverbeiständung für das erstinstanzliche Verfahren beantragt (in diesem Sinne SZS 2002 S. 511). Das Sozialversicherungsgericht liess das Gesuch unbeantwortet. Es hat die Voraussetzungen für die Gewährung der unentgeltlichen Rechtspflege nicht abgeklärt und auch keinen entsprechenden Zwischenentscheid getroffen. Ebenso wenig wurde das Gesuch im angefochtenen Entscheid erwähnt und beantwortet.</w:t>
      </w:r>
    </w:p>
    <w:p>
      <w:r>
        <w:rPr>
          <w:b/>
        </w:rPr>
        <w:t>E. 3.2</w:t>
      </w:r>
    </w:p>
    <w:p>
      <w:r>
        <w:t>Schadenersatzansprüche gemäss Art. 52 AHVG werden laut Art. 81 Abs. 3 AHVV vor der kantonalen Rekursinstanz im Klageverfahren erledigt. Dabei kommt der Argumentation des Beklagten entscheidendes Gewicht zu. Vorliegend geht es um einen Schadenersatzanspruch in der Höhe von Fr. 256'705.75. Dementsprechend erscheint eine Rechtsverbeiständung zur gehörigen Interessenwahrung erforderlich. Das Gesuch hätte mittels Zwischenentscheid beantwortet werden müssen, damit ein - eventuell - bewilligter Rechtsvertreter Gelegenheit gehabt hätte, seine Argumente und möglichen Beweisanträge im ordentlichen Schriftenwechsel einzubringen. Bei Abweisung des Gesuches hätte dem Beschwerdeführer offen stehen müssen, den Zwischenentscheid dem Eidgenössischen Versicherungsgericht zur Beurteilung zu unterbreiten. Dieser Mangel kann nicht nachträglich geheilt werden, dies zum einen, weil der Beschwerdeführer ein Anrecht darauf hat, dass die Haftung für Schadenersatzansprüche der Ausgleichskasse von zwei Gerichtsinstanzen unter Wahrung seines rechtlichen Gehörs beurteilt wird und zum andern, weil das Eidgenössische Versicherungsgericht vorliegend mit beschränkter Kognition urteilt (vgl. Erw. 1.1 und 2.3). Damit hat die Vorinstanz nach dem Gesagten das rechtliche Gehör des Beschwerdeführers und Art. 85 Abs. 2 lit. f AHVG verletzt. Der angefochtene Entscheid wird daher aus formellen Gründen aufgehoben und die Sache zur Durchführung eines korrekten Verfahrens - mit einem vorgängigen Entscheid über den Anspruch des Beschwerdeführers auf unentgeltliche Verbeiständung - an das kantonale Gericht zurückgewiesen.</w:t>
      </w:r>
    </w:p>
    <w:p>
      <w:r>
        <w:rPr>
          <w:b/>
        </w:rPr>
        <w:t>E. 4</w:t>
      </w:r>
    </w:p>
    <w:p>
      <w:r>
        <w:t>Das Verfahren ist kostenpflichtig, da es nicht die Bewilligung oder Verweigerung von Versicherungsleistungen zum Gegenstand hat ( Art. 134 OG e contrario). Dem Prozessausgang entsprechend hat die Beschwerdegegnerin im Prinzip die Gerichtskosten zu tragen ( Art. 156 Abs. 1 OG ). Da die Verwaltungsgerichtsbeschwerde ohne Prüfung ihrer materiellen Erfolgsaussichten aus rein formellen Gründen, welche einzig die Vorinstanz zu vertreten und auf welche die Ausgleichskasse keinen Einfluss hatte, gutzuheissen ist, wird vorliegend indes auf die Erhebung von Gerichtskosten verzichtet. Das Gesuch des Beschwerdeführers um unentgeltliche Rechtspflege im vorliegenden Verfahren kann bei diesem Ausgang offen bleiben.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