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440/00 vom 22. März 2001</w:t>
      </w:r>
    </w:p>
    <w:p>
      <w:r>
        <w:t>Bundesgericht, 2001-03-22, DE</w:t>
      </w:r>
    </w:p>
    <w:p>
      <w:r>
        <w:rPr>
          <w:b/>
        </w:rPr>
        <w:t xml:space="preserve">Quelle: </w:t>
      </w:r>
      <w:r>
        <w:t>https://mcp.opencaselaw.ch/entscheid/bger_H_440_00</w:t>
      </w:r>
    </w:p>
    <w:p>
      <w:r>
        <w:t>FR: TF H 440/00 du 22 mars 2001</w:t>
      </w:r>
    </w:p>
    <w:p>
      <w:r>
        <w:t>IT: TF H 440/00 del 22 marzo 2001</w:t>
      </w:r>
    </w:p>
    <w:p>
      <w:pPr>
        <w:pStyle w:val="Heading2"/>
      </w:pPr>
      <w:r>
        <w:t>Regeste</w:t>
      </w:r>
    </w:p>
    <w:p>
      <w:r>
        <w:t>Alters- und Hinterlassenenversicherung</w:t>
      </w:r>
    </w:p>
    <w:p>
      <w:pPr>
        <w:pStyle w:val="Heading2"/>
      </w:pPr>
      <w:r>
        <w:t>Erwägungen</w:t>
      </w:r>
    </w:p>
    <w:p>
      <w:r>
        <w:rPr>
          <w:b/>
        </w:rPr>
        <w:t>E. 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 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 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Versicherungsgerichts vom 25. Juni 1991 wurde diese Rechtsprechung dahin geändert, dass es für die rechtzeitige Bezahlung des Kostenvorschusses genügt, wenn einerseits spätestens der letzte Tag der vom Bundesgericht festgesetzten Frist als Fälligkeitsdatum eingesetzt ist und anderseits der Datenträger innert dieser Frist der Post übergeben wird. Nicht mehr erforderlich ist, dass die Gutschrift auf dem Empfängerkonto noch innert der Zahlungsfrist erfolgen kann ( BGE 117 Ib 220 ; bestätigt in BGE 118 Ia 12 ; Steuerrevue 55 [2000] S. 353; RKUV 1997 Nr. U 279 S. 270; RDAT 1994 I Nr. 57 S. 270).</w:t>
      </w:r>
    </w:p>
    <w:p>
      <w:r>
        <w:rPr>
          <w:b/>
        </w:rPr>
        <w:t>E. 2</w:t>
      </w:r>
    </w:p>
    <w:p>
      <w:r>
        <w:t>Der Rechtsvertreter des Beschwerdeführers hat die Kostenvorschussverfügung am 8. Januar 2001 gegen unterschriftliche Bestätigung entgegengenommen. Der folgende Tag (9. Januar 2001) zählt als erster Tag der vierzehntägigen Frist ( Art. 32 Abs. 1 OG ), welche am 22. Januar 2001 endete. Die vom Beschwerdeführer beauftragte Bank hat unter Benützung der EZAG die Daten zwar innerhalb der Zahlungsfrist am 19. Januar 2001 der Postfinance übermittelt. Als Fälligkeitsdatum hat sie indessen den 23. Januar 2001 angegeben (Schreiben der Postfinance, Kundendienst EZAG, vom 31. Januar 2001). Weil somit das Fälligkeitsdatum auf einen Zeitpunkt nach Ablauf der Frist eingesetzt war, ist der Kostenvorschuss im Lichte der erwähnten höchstrichterlichen Rechtsprechung, die erst kürzlich bestätigt worden ist (vgl. das in der Steuerrevue 55 [2000] S. 353 veröffentlichte Urteil des Eidgenössischen Versicherungsgerichts vom 11. Januar 2000, H 225/98, und das nicht veröffentlichte Urteil der I. Öffentlichrechtlichen Abteilung des Bundesgerichts vom 16. August 2000, 1P.352/2000) und zu deren Änderung kein Anlass besteht, nicht rechtzeitig geleistet worden. Schliesslich hat sich der Beschwerdeführer das Verhalten der mit der Überweisung beauftragten Bank als solches einer Hilfsperson anrechnen zu lassen (vgl. BGE 114 Ib 74 Erw. 3), weshalb sein Gesuch um Wiederherstellung abzuweisen ist (RKUV 1997 Nr. U 279 S. 270).</w:t>
      </w:r>
    </w:p>
    <w:p>
      <w:r>
        <w:rPr>
          <w:b/>
        </w:rPr>
        <w:t>E. 3</w:t>
      </w:r>
    </w:p>
    <w:p>
      <w:r>
        <w:t>Da die Verwaltungsgerichtsbeschwerde offensichtlich unzulässig ist, wird sie im Verfahren nach Art. 36a Abs. 1 lit. a OG erledigt. Demnach erkennt das Eidg. Versicherungsgericht: I.Das Wiederherstellungsbegehren wird abgewiesen. II.Auf die Verwaltungsgerichtsbeschwerde wird nicht eingetreten. III. Es werden keine Gerichtskosten erhoben. IV.Der verspätet geleistete Kostenvorschuss von Fr. 4000.- wird dem Beschwerdeführer zurückerstattet. V.Dieses Urteil wird den Parteien, dem Verwaltungsgericht des Kantons Bern, dem Bundesamt für Sozialversicherung, U.________ und L.________ zugestellt. Luzern, 22. März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