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436/99 vom 30. März 2001</w:t>
      </w:r>
    </w:p>
    <w:p>
      <w:r>
        <w:t>Bundesgericht, 2001-03-30, DE</w:t>
      </w:r>
    </w:p>
    <w:p>
      <w:r>
        <w:rPr>
          <w:b/>
        </w:rPr>
        <w:t xml:space="preserve">Quelle: </w:t>
      </w:r>
      <w:r>
        <w:t>https://mcp.opencaselaw.ch/entscheid/bger_H_436_99</w:t>
      </w:r>
    </w:p>
    <w:p>
      <w:r>
        <w:t>FR: TF H 436/99 du 30 mars 2001</w:t>
      </w:r>
    </w:p>
    <w:p>
      <w:r>
        <w:t>IT: TF H 436/99 del 30 marzo 2001</w:t>
      </w:r>
    </w:p>
    <w:p>
      <w:pPr>
        <w:pStyle w:val="Heading2"/>
      </w:pPr>
      <w:r>
        <w:t>Regeste</w:t>
      </w:r>
    </w:p>
    <w:p>
      <w:r>
        <w:t>Alters- und Hinterlassenenversicherung</w:t>
      </w:r>
    </w:p>
    <w:p>
      <w:pPr>
        <w:pStyle w:val="Heading2"/>
      </w:pPr>
      <w:r>
        <w:t>Erwägungen</w:t>
      </w:r>
    </w:p>
    <w:p>
      <w:r>
        <w:rPr>
          <w:b/>
        </w:rPr>
        <w:t>E. 1</w:t>
      </w:r>
    </w:p>
    <w:p>
      <w:r>
        <w:t>a) Auf die Verwaltungsgerichtsbeschwerde kann nur soweit eingetreten werden, als eine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119 V 80 Erw. 1b, 118 V 69 Erw. 1b mit Hinweis). b)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Im vorinstanzlichen Entscheid werden die nach Art. 52 AHVG und der Rechtsprechung für die Schadenersatzpflicht des Arbeitgebers und seiner Organe geltenden Grundsätze zutreffend dargelegt, sodass darauf verwiesen werden kann. Richtig ist auch, dass die Haftung zusätzlich einen adäquaten Kausalzusammenhang zwischen der absichtlichen oder grobfahrlässigen Missachtung von Vorschriften und dem eingetretenen Schaden voraussetzt ( BGE 119 V 406 Erw. 4a mit Hinweisen auf die Lehre).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121 V 49 Erw. 3a, 119 V 406 Erw. 4a, je mit Hinweisen; vgl. auch BGE 121 IV 15 Erw. 3, 119 Ib 343 Erw. 3c).</w:t>
      </w:r>
    </w:p>
    <w:p>
      <w:r>
        <w:rPr>
          <w:b/>
        </w:rPr>
        <w:t>E. 3</w:t>
      </w:r>
    </w:p>
    <w:p>
      <w:r>
        <w:t>a) Zwar weist die Vorinstanz zu Recht darauf hin, dass ein Verwaltungsratsmitglied mit der Mandatsübernahme in die Verantwortung sowohl für die laufenden als auch für die verfallenen, von der Gesellschaft in früheren Jahren schuldig gebliebenen Sozialversicherungsabgaben eintritt. Hinsichtlich beider Arten von Verbindlichkeiten ist die Untätigkeit des Organs regelmässig kausal, sodass hinsichtlich Schadenersatzpflicht keine unterschiedliche Behandlung angezeigt ist (ZAK 1992 S. 254 f. Erw. 7b). Am Erfordernis des Kausalzusammenhanges zwischen Untätigkeit des Verwaltungsratsmitgliedes und Nichtleistung von Beitragszahlungen, die bei Eintritt in den Verwaltungsrat bereits ausstehend waren, mangelt es indes ausnahmsweise, wenn die Gesellschaft bereits vorgängig dem Eintritt des neuen Verwaltungsrates zahlungsunfähig war ( BGE 119 V 406 f. Erw. 4b und c). b) Der Beschwerdeführer ist gemäss Handelsregistereintrag am 5. Juli 1996 in den Verwaltungsrat der Firma eingetreten, wobei nach den Feststellungen der Vorinstanz die formelle Mandatsübernahme am 1. September 1996 erfolgte. Bereits drei Wochen später, am 24. September 1996, ist über die Firma der Konkurs eröffnet wurde. Wie der Beschwerdeführer in der Verwaltungsgerichtsbeschwerde überzeugend ausführt, verfügte die Firma über keine finanziellen Mittel mehr, als er in den Verwaltungsrat eintrat. Er konnte daher die Entstehung des Schadens nicht mehr verhindern. Er hätte in der kurzen Zeitspanne der Zugehörigkeit zum Verwaltungsrat einzig und allein versuchen können zu vermeiden, dass sich der bereits eingetretene Schaden bis zur unvermeidlichen Konkurseröffnung noch verschlimmerte. Zwischen den rückständigen Beiträgen und dem Verhalten des Beschwerdeführers fehlt es daher am adäquaten Kausalzusammenhang. Weil sich mangels beitragspflichtiger Lohnzahlungen der Schaden ab Zugehörigkeit zum Verwaltungsrat auch nicht vergrösserte, hat die Vorinstanz eine Schadenersatzpflicht des Beschwerdeführers insgesamt zu Unrecht bejaht. Demnach erkennt das Eidg. Versicherungsgericht: I.In Gutheissung der Verwaltungsgerichtsbeschwerde wird der Entscheid des Verwaltungsgericht des Kantons Graubünden vom 7. September 1999, soweit den Beschwerdeführer betreffend, aufgehoben, und es wird die gegen ihn gerichtete Schadenersatzklage der Ausgleichskasse des Kantons Appenzell A.Rh. im bundesrechtlichen Umfang abgewiesen. II.Die Gerichtskosten von Fr. 3400. - werden der Ausgleichskasse des Kantons Appenzell A.Rh. auferlegt. III. Der geleistete Kostenvorschuss von Fr. 3400. - wird dem Beschwerdeführer zurückerstattet. IV.Die Ausgleichskasse des Kantons Appenzell A.Rh. hat dem Beschwerdeführer für das Verfahren vor dem Eidgenössischen Versicherungsgericht eine Parteientschädigung von Fr. 2500. - (einschliesslich Mehrwertsteuer) zu bezahlen. V.Das Verwaltungsgericht des Kantons Graubünden wird über eine Parteientschädigung für das kantonale Verfahren entsprechend dem Ausgang des letztinstanzlichen Prozesses zu befinden haben. VI.Dieses Urteil wird den Parteien, dem Verwaltungsgericht des Kantons Graubünden, dem Bundesamt für Sozialversicherung, M.________, E.________, T.________ und Z.________ zugestellt. Luzern, 30. März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