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415/00 vom 10. August 2001</w:t>
      </w:r>
    </w:p>
    <w:p>
      <w:r>
        <w:t>Bundesgericht, 2001-08-10, DE</w:t>
      </w:r>
    </w:p>
    <w:p>
      <w:r>
        <w:rPr>
          <w:b/>
        </w:rPr>
        <w:t xml:space="preserve">Quelle: </w:t>
      </w:r>
      <w:r>
        <w:t>https://mcp.opencaselaw.ch/entscheid/bger_H_415_00</w:t>
      </w:r>
    </w:p>
    <w:p>
      <w:r>
        <w:t>FR: TF H 415/00 du 10 août 2001</w:t>
      </w:r>
    </w:p>
    <w:p>
      <w:r>
        <w:t>IT: TF H 415/00 del 10 agosto 2001</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Es ist auf Grund der Erwägungen im vorinstanzlichen Entscheid offensichtlich, dass das kantonale Gericht die Klage der Kasse wegen Gegenstandslosigkeit vom Geschäftsverzeichnis abgeschrieben und entgegen Dispositiv-Ziffer 1 nicht abgewiesen hat. Soweit der Beschwerdeführer seinen Anspruch auf eine Parteientschädigung darauf gründet, dass die Klage abgewiesen worden sei und er somit obsiegt habe, geht seine Argumentation fehl. Er kann aus dem Verschrieb der Vorinstanz in der erwähnten Dispositiv-Ziffer nichts zu seinen Gunsten ableiten.</w:t>
      </w:r>
    </w:p>
    <w:p>
      <w:r>
        <w:rPr>
          <w:b/>
        </w:rPr>
        <w:t>E. 3</w:t>
      </w:r>
    </w:p>
    <w:p>
      <w:r>
        <w:t>a) Fällt, wie hier, von einer Sache alles Streitige ab, entscheidet das Gericht über die Nebenfolgen, gegebenenfalls über den Anspruch auf Parteientschädigung, mit summarischer Begründung gestützt auf die Sachlage vor Eintritt des zur Gegenstandslosigkeit führenden Grundes ( Art. 135 OG in Verbindung mit Art. 40 OG und Art. 72 BZP ). Dabei ist besonders auf den mutmasslichen Ausgang des Prozesses abzustellen ( BGE 125 V 374 Erw. 2a mit Hinweisen). b) Wären keine Konkursdividenden angefallen, hätte die Vorinstanz die Klage der Kasse gutheissen müssen. Die konkursite Firma hat über längere Zeit ihre Beitragspflichten nicht korrekt erfüllt. Dafür sind keine stichhaltigen Exkulpationsgründe ersichtlich. Der strafrechtliche Freispruch entlastet den Beschwerdeführer ahv-rechtlich nicht. Die Kasse musste sodann angesichts der kurzen Verwirkungsfristen nach Art. 81 und 82 AHVV rechtzeitig handeln und konnte sich nicht damit begnügen, den im damaligen Zeitpunkt noch ungewissen Ausgang der Konkursverwertung abzuwarten.</w:t>
      </w:r>
    </w:p>
    <w:p>
      <w:r>
        <w:rPr>
          <w:b/>
        </w:rPr>
        <w:t>E. 4</w:t>
      </w:r>
    </w:p>
    <w:p>
      <w:r>
        <w:t>Da die Verwaltungsgerichtsbeschwerde offensichtlich unbegründet ist, wird sie im Verfahren nach Art. 36a OG erledigt.</w:t>
      </w:r>
    </w:p>
    <w:p>
      <w:r>
        <w:rPr>
          <w:b/>
        </w:rPr>
        <w:t>E. 5</w:t>
      </w:r>
    </w:p>
    <w:p>
      <w:r>
        <w:t>Der vorliegende Prozess ist kostenpflichtig ( Art. 134 OG e contrario). Der unterliegende Beschwerdeführer hat die Gerichtskosten zu tragen ( Art. 156 Abs. 1 OG ). Demnach erkennt das Eidg. Versicherungsgericht: I. Die Verwaltungsgerichtsbeschwerde wird abgewiesen. II. Die Gerichtskosten von total Fr. 1300.- werden dem Beschwerdeführer auferlegt und mit dem geleisteten Kostenvorschuss verrechnet. III. Dieses Urteil wird den Parteien, dem Versicherungsgericht des Kantons St. Gallen und dem Bundesamt für Sozialversicherung zugestellt. Luzern, 10. August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