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39/02 vom 9. Januar 2003</w:t>
      </w:r>
    </w:p>
    <w:p>
      <w:r>
        <w:t>Bundesgericht, 2003-01-09, FR</w:t>
      </w:r>
    </w:p>
    <w:p>
      <w:r>
        <w:rPr>
          <w:b/>
        </w:rPr>
        <w:t xml:space="preserve">Quelle: </w:t>
      </w:r>
      <w:r>
        <w:t>https://mcp.opencaselaw.ch/entscheid/bger_H_39_02</w:t>
      </w:r>
    </w:p>
    <w:p>
      <w:r>
        <w:t>FR: TF H 39/02 du 9 janvier 2003</w:t>
      </w:r>
    </w:p>
    <w:p>
      <w:r>
        <w:t>IT: TF H 39/02 del 9 gennaio 2003</w:t>
      </w:r>
    </w:p>
    <w:p>
      <w:pPr>
        <w:pStyle w:val="Heading2"/>
      </w:pPr>
      <w:r>
        <w:t>Regeste</w:t>
      </w:r>
    </w:p>
    <w:p>
      <w:r>
        <w:t>Assurance-vieillesse et survivants</w:t>
      </w:r>
    </w:p>
    <w:p>
      <w:pPr>
        <w:pStyle w:val="Heading2"/>
      </w:pPr>
      <w:r>
        <w:t>Erwägungen</w:t>
      </w:r>
    </w:p>
    <w:p>
      <w:r>
        <w:rPr>
          <w:b/>
        </w:rPr>
        <w:t>E. 1</w:t>
      </w:r>
    </w:p>
    <w:p>
      <w:r>
        <w:t>Le litige porte sur la responsabilité du recourant dans le préjudice subi par l'intimée, aux conditions des ' art. 52 LAVS et 82 RAVS, dans leur teneur - applicable en l'espèce - en vigueur jusqu'au 31 décembre 2002.</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Les juges cantonaux ont exposé correctement les dispositions légales ainsi que les principes jurisprudentiels applicables en matière de responsabilité de l'employeur et de connaissance du dommage, de sorte qu'il suffit d'y renvoyer. On ajoutera que selon la jurisprudence, le principe selon lequel dans le cas d'une faillite, la caisse a en règle générale suffisamment connaissance du dommage au sens de l' art. 82 al. 1 RAVS au moment où l'état de collocation et l'inventaire ont été déposés et peuvent être consultés ( ATF 128 V 17 consid. 2a in fine et les arrêts cités) est également valable lorsque la faillite est liquidée selon la procédure de liquidation sommaire, dès lors que le prononcé de liquidation sommaire de la faillite ne signifie pas encore que la connaissance du dommage est établie ( ATF 126 V 445 consid. 3b et les références ).</w:t>
      </w:r>
    </w:p>
    <w:p>
      <w:r>
        <w:rPr>
          <w:b/>
        </w:rPr>
        <w:t>E. 4</w:t>
      </w:r>
    </w:p>
    <w:p>
      <w:r>
        <w:t>Le recourant soutient que, contrairement à l'avis de la juridiction cantonale, le droit de demander réparation était périmé lorsque la caisse a rendu sa décision le 22 mars 2001. Selon lui, le point de départ du délai de connaissance du dommage ( art. 82 al. 1 RAVS ) a commencé à courir dès le moment où l'intimée a produit sa créance, le 28 janvier 2000, dans la faillite prononcée le 10 janvier 2000. Cette argumentation ne saurait être suivie. En effet, le simple fait que la procédure de liquidation sommaire a, comme en l'espèce, été ordonnée ne permet pas, selon la jurisprudence citée (cf. consid. 3), d'établir le moment de la connaissance du dommage, pas plus que la production (pratiquement concomitante) de la créance par l'intimée, de sorte que le recourant ne peut rien déduire en sa faveur de ces événements en tant que tels. Par ailleurs, ainsi que les premiers juges l'ont constaté, il n' existe pas de circonstance spéciale permettant de considérer que la connaissance du dommage a été acquise par la caisse avant le dépôt de l'état de collocation le 26 janvier 2001 (cf. ATF 128 V 12 sv. consid. 5a ,128 V 15,126 V 452 consid. 2a in fine et l'arrêt cité). Partant, le moyen tiré de la péremption se révèle infondé.</w:t>
      </w:r>
    </w:p>
    <w:p>
      <w:r>
        <w:rPr>
          <w:b/>
        </w:rPr>
        <w:t>E. 5</w:t>
      </w:r>
    </w:p>
    <w:p>
      <w:r>
        <w:t>Le recourant estime par ailleurs qu'il n'est pas responsable du dommage causé à l'intimée, au motif principal qu'il ne disposait plus de la faculté de payer les cotisations arriérées aux assurances sociales à partir de l'ouverture de la faillite le 10 janvier 2000. Il reste toutefois muet sur les raisons pour lesquelles les cotisations (part patronale) afférentes aux mois de septembre 1998 à décembre 1998 et d'avril à décembre 1999 n'ont pas été payées en temps utile (cf. art. 34 RAVS ) et étaient en souffrance largement après la date de leur exigibilité. Dès lors, en l'absence de motifs de nature à justifier ou à excuser le comportement du recourant (cf. notamment ATF 108 V 183 ), il n'y a pas matière à exculpation. L'intéressé ne le conteste du reste pas sérieusement.</w:t>
      </w:r>
    </w:p>
    <w:p>
      <w:r>
        <w:rPr>
          <w:b/>
        </w:rPr>
        <w:t>E. 6</w:t>
      </w:r>
    </w:p>
    <w:p>
      <w:r>
        <w:t>La procédure n'est pas gratuite, s'agissant d'un litige qui ne porte pas sur l'octroi ou le refus de prestations d'assurance ( art. 134 OJ a contrario). Le recourant, qui succombe, supportera les frais de justice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