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375/01 vom 27. März 2002</w:t>
      </w:r>
    </w:p>
    <w:p>
      <w:r>
        <w:t>Bundesgericht, 2002-03-27, DE</w:t>
      </w:r>
    </w:p>
    <w:p>
      <w:r>
        <w:rPr>
          <w:b/>
        </w:rPr>
        <w:t xml:space="preserve">Quelle: </w:t>
      </w:r>
      <w:r>
        <w:t>https://mcp.opencaselaw.ch/entscheid/bger_H_375_01</w:t>
      </w:r>
    </w:p>
    <w:p>
      <w:r>
        <w:t>FR: TF H 375/01 du 27 mars 2002</w:t>
      </w:r>
    </w:p>
    <w:p>
      <w:r>
        <w:t>IT: TF H 375/01 del 27 marzo 2002</w:t>
      </w:r>
    </w:p>
    <w:p>
      <w:pPr>
        <w:pStyle w:val="Heading2"/>
      </w:pPr>
      <w:r>
        <w:t>Regeste</w:t>
      </w:r>
    </w:p>
    <w:p>
      <w:r>
        <w:t>Alters- und Hinterlassenenversicherung</w:t>
      </w:r>
    </w:p>
    <w:p>
      <w:pPr>
        <w:pStyle w:val="Heading2"/>
      </w:pPr>
      <w:r>
        <w:t>Erwägungen</w:t>
      </w:r>
    </w:p>
    <w:p>
      <w:r>
        <w:rPr>
          <w:b/>
        </w:rPr>
        <w:t>E. 1</w:t>
      </w:r>
    </w:p>
    <w:p>
      <w:r>
        <w:t>Bei der Erlass- oder Herabsetzungsfrage geht es nach ständiger Rechtsprechung nicht um die Bewilligung oder Verweigerung von Versicherungsleistungen im Sinne von Art. 132 OG ( BGE 122 V 136 Erw. 1 mit Hinweisen). Das Eidgenössische Versicherungsgericht hat deshalb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Wie bereits von der Vorinstanz dargetan, können AHV-/IV-/EO-Beiträge nach Art. 11 AHVG herabgesetzt oder erlassen werden, wenn deren Bezahlung einem obligatorisch Versicherten nicht zumutbar ist. Die Voraussetzung der Unzumutbarkeit ist erfüllt, wenn der Beitragspflichtige bei Bezahlung des vollen Beitrags seinen Notbedarf und denjenigen seiner Familie nicht befriedigen könnte. Unter Notbedarf ist das Existenzminimum im Sinne des SchKG zu verstehen ( BGE 120 V 274 Erw. 5a mit Hinweis). b) Das kantonale Gericht ermittelte die finanzielle Situation anhand der Angaben der Versicherten. Dergestalt resultierte ein Einnahmenüberschuss von monatlich Fr. 119. 10 gegenüber dem betreibungsrechtlichen Existenzminimum. Trotz dieser knappen Differenz erachtete die Vorinstanz eine Herabsetzung als nicht angebracht. Mit dieser Würdigung der gesamten Umstände ( BGE 120 V 274 Erw. 5a) hat das kantonale Gericht weder Bundesrecht verletzt, noch den Sachverhalt unrichtig oder unvollständig festgestellt, noch sein Ermessen überschritten. In der Verwaltungsgerichtsbeschwerde wird nichts vorgebracht, was zu einem anderen Ergebnis führen könnte. Die Vorinstanz hat die finanziellen Verhältnisse der Versicherten korrekt berücksichtigt.</w:t>
      </w:r>
    </w:p>
    <w:p>
      <w:r>
        <w:rPr>
          <w:b/>
        </w:rPr>
        <w:t>E. 3</w:t>
      </w:r>
    </w:p>
    <w:p>
      <w:r>
        <w:t>Auf die Erhebung von Gerichtskosten wird mit Blick auf die gesamten Umstände verzichtet. Demnach erkennt das Eidg. Versicherungsgericht: I. Die Verwaltungsgerichtsbeschwerde wird abgewiesen. II. Es werden keine Gerichtskosten erhoben. III. Dieses Urteil wird den Parteien, dem Versicherungsgericht des Kantons Solothurn und dem Bundesamt für Sozialversicherung zugestellt. Luzern, 27. März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