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364/99 vom 12. Dezember 2000</w:t>
      </w:r>
    </w:p>
    <w:p>
      <w:r>
        <w:t>Bundesgericht, 2000-12-12, DE</w:t>
      </w:r>
    </w:p>
    <w:p>
      <w:r>
        <w:rPr>
          <w:b/>
        </w:rPr>
        <w:t xml:space="preserve">Quelle: </w:t>
      </w:r>
      <w:r>
        <w:t>https://mcp.opencaselaw.ch/entscheid/bger_H_364_99</w:t>
      </w:r>
    </w:p>
    <w:p>
      <w:r>
        <w:t>FR: TF H 364/99 du 12 décembre 2000</w:t>
      </w:r>
    </w:p>
    <w:p>
      <w:r>
        <w:t>IT: TF H 364/99 del 12 dicembre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Vorinstanz legt in ihrem Entscheid die Voraussetzungen des Schadenersatzanspruchs gemäss Art. 52 AHVG unter Hinweis auf die massgebende Ordnung und Rechtsprechung einlässlich und zutreffend dar. Es kann darauf verwiesen werden. b) Sodann stellt das Sozialversicherungsgericht richtig fest, dass im vorliegenden Fall die Haftungsvoraussetzungen bei den Beschwerdeführern - bei der Beschwerdeführerin B.________ bis zu ihrem Austritt aus dem Verwaltungsrat am 6. Oktober 1995 - erfüllt sind und sie den der AHV verursachten (und in masslicher Hinsicht unbestrittenen) Schaden zu ersetzen haben. Dagegen wird in der Verwaltungsgerichtsbeschwerde nichts vorgebracht, was die vorinstanzliche Feststellung des Sachverhalts als mangelhaft im Sinne des Art. 105 Abs. 2 OG oder die rechtliche Würdigung als bundesrechtswidrig erscheinen liesse (vgl. Erw. 2 hievor). Was den in der Verwaltungsgerichtsbeschwerde geltend gemachten Umstand anbetrifft, die Beschwerdeführer seien "ohne ihre Schuld" "in den Firmenkonkurs ... hineingerutscht", ist darauf hinzuweisen, dass ihnen nicht vorgeworfen wird, den Konkurs der Firma verschuldet zu haben, sondern die der Ausgleichskasse zu entrichtenden und mit jeder Lohnzahlung fällig gewordenen Sozialversicherungsbeiträge nicht abgeliefert zu haben; namentlich hätten die Beschwerdeführer Löhne nur soweit auszahlen dürfen, als gleichzeitig die Sozialversicherungsbeiträge bezahlt bzw. sichergestellt waren ( BGE 118 V 195 Erw. 2a; SVR 1995 AHV Nr. 70 S. 213, je mit Hinweisen). Die weiteren Einwendungen der Beschwerdeführer sind nicht geeignet, Rechtfertigungs- oder Exkulpationsgründe im Sinne der Rechtsprechung darzutun ( BGE 108 V 183 ff.; AHI-Praxis 1994 S. 105 Erw. 5b/cc, ZAK 1992 S. 248 Erw. 4b, 1985 S. 577 Erw. 3a und S. 621 unten f.; vgl. auch BGE 121 V 244 Erw. 4b). Zu den übrigen Vorbringen der Beschwerdeführer - namentlich jenen betr. Beizug der Geschäftsunterlagen -, mit denen sich bereits die Vorinstanz zutreffend auseinandergesetzt hat, wird auf die eingehenden Erwägungen des kantonalen Gerichts verwiesen, denen das Eidgenössische Versicherungsgericht nichts beizufügen hat.</w:t>
      </w:r>
    </w:p>
    <w:p>
      <w:r>
        <w:rPr>
          <w:b/>
        </w:rPr>
        <w:t>E. 4</w:t>
      </w:r>
    </w:p>
    <w:p>
      <w:r>
        <w:t>Dem Ausgang des Verfahrens entsprechend gehen die Kosten zu Lasten der Beschwerdeführer ( Art. 134 OG e contrario; Art. 156 Abs. 1 in Verbindung mit Art. 135 OG ). Demnach erkennt das Eidg. Versicherungsgericht: I.Die Verwaltungsgerichtsbeschwerde wird abgewiesen, soweit darauf einzutreten ist. II.Die Gerichtskosten von total Fr. 1950. - werden den Beschwerdeführern auferlegt und mit dem geleisteten Kostenvorschuss verrechnet. III. Dieses Urteil wird den Parteien, dem Sozialversicherungsgericht des Kantons Zürich und dem Bundesamt für Sozialversicherung zugestellt. Luzern, 12. Dezember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