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H_346/2000 vom 17. Januar 2001</w:t>
      </w:r>
    </w:p>
    <w:p>
      <w:r>
        <w:t>Bundesgericht, 2001-01-17, DE</w:t>
      </w:r>
    </w:p>
    <w:p>
      <w:r>
        <w:rPr>
          <w:b/>
        </w:rPr>
        <w:t xml:space="preserve">Quelle: </w:t>
      </w:r>
      <w:r>
        <w:t>https://mcp.opencaselaw.ch/entscheid/bger_H_346_2000</w:t>
      </w:r>
    </w:p>
    <w:p>
      <w:r>
        <w:t>FR: TF H_346/2000 du 17 janvier 2001</w:t>
      </w:r>
    </w:p>
    <w:p>
      <w:r>
        <w:t>IT: TF H_346/2000 del 17 gennaio 2001</w:t>
      </w:r>
    </w:p>
    <w:p>
      <w:pPr>
        <w:pStyle w:val="Heading2"/>
      </w:pPr>
      <w:r>
        <w:t>Erwägungen</w:t>
      </w:r>
    </w:p>
    <w:p>
      <w:r>
        <w:rPr>
          <w:b/>
        </w:rPr>
        <w:t>E. 1</w:t>
      </w:r>
    </w:p>
    <w:p>
      <w:r>
        <w:t>a)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 Art. 29bis Abs. 1 AHVG ). Die Rente wird nach Massgabe des durchschnittlichen Jahreseinkommens berechnet, welches sich aus den Erwerbseinkommen, den Erziehungsgutschriften und den Betreuungsgutschriften zusammensetzt ( Art. 29quater AHVG ).</w:t>
      </w:r>
    </w:p>
    <w:p>
      <w:r>
        <w:t>b) Nach Art. 29sexies Abs. 1 AHVG (in dem bis 31. Dezember 1999 gültig gewesenen und auf den vorliegenden Fall anwendbaren Wortlaut der Bestimmung) wird Versicherten für die Jahre, in welchen sie die elterliche Gewalt über eines oder mehrere Kinder ausüben, die das 16. Altersjahr noch nicht erreicht haben, eine Erziehungsgutschrift angerechnet. Der Bundesrat regelt die Einzelheiten, insbesondere die Anrechnung der Erziehungsgutschrift, wenn a) Eltern Kinder unter ihrer Obhut haben, ohne die elterliche Gewalt auszuüben, b) lediglich ein Elternteil in der schweizerischen AHV versichert ist und c) die Voraussetzungen für die Anrechnung einer Erziehungsgutschrift nicht während des ganzen Kalenderjahres erfüllt werden. Gestützt auf die Delegationsnorm von Art. 29sexies Abs. 1 lit. a AHVG hat der Bundesrat in Art. 52e AHVV bestimmt, dass ein Anspruch auf Anrechnung von Erziehungsgutschriften auch für Jahre besteht, in denen die Eltern Kinder unter ihrer Obhut hatten, ohne dass ihnen die elterliche Gewalt zustand. Die Bestimmung wurde mit der Verordnungsnovelle vom 25. August 1999 (AS 1999 2681) lediglich insofern geändert, als der Ausdruck "elterliche Gewalt" durch "elterliche Sorge" ersetzt und damit dem neuen Kindesrecht ( Art. 311 ff. ZGB ) angepasst wurde (Ziff. I 4 des Bundesgesetzes über die Änderung des ZGB vom 26. Juni 1998, in Kraft seit 1. Januar 2000, AS 1999 1118, 1144). Ferner hat der Bundesrat in Art. 52f AHVV einen neuen Abs. 2bis eingefügt, welcher die Anrechnung der Erziehungsgutschrift regelt, wenn die elterliche Sorge geschiedenen oder unverheirateten Eltern gemeinsam zusteht.</w:t>
      </w:r>
    </w:p>
    <w:p>
      <w:r>
        <w:rPr>
          <w:b/>
        </w:rPr>
        <w:t>E. 2</w:t>
      </w:r>
    </w:p>
    <w:p>
      <w:r>
        <w:t>a) Das Gesetz macht den Anspruch auf Anrechnung von Erziehungsgutschriften grundsätzlich davon abhängig, dass der Versicherte über eines oder mehrere Kinder die elterliche Gewalt ausgeübt hat. Eine Ausnahme von der Voraussetzung der elterlichen Gewalt sieht das Gesetz lediglich insofern vor, als der Bundesrat Vorschriften über die Anrechnung von Erziehungsvorschriften u.a. für den Fall erlassen kann, dass Eltern Kinder unter ihrer Obhut haben, ohne die elterliche Gewalt über sie auszuüben ( Art. 29sexies Abs. 1 lit. a AHVG ). Die vom Bundesrat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Eltern die elterliche Gewalt entzogen wurde ( Art. 311 ff. ZGB ).</w:t>
      </w:r>
    </w:p>
    <w:p>
      <w:r>
        <w:t>b) Nach der Rechtsprechung ist der Begriff der elterlichen Gewalt im Sinne der Art. 296 ff. ZGB zu verstehen. Gemäss diesen Bestimmungen haben Pflegeeltern keine elterliche Gewalt, sondern lediglich die Befugnis, die leiblichen Eltern in der elterlichen Gewalt zu vertreten, soweit es zur gehörigen Erfüllung ihrer Aufgaben angezeigt ist ( Art. 300 Abs. 1 ZGB ). Pflegeeltern sind daher - anders als die Adoptiveltern - vom Anspruch auf Anrechnung von Erziehungsgutschriften ausgeschlossen ( BGE 125 V 245 ff.). Dagegen hat das Eidgenössische Versicherungsgericht in BGE 126 V 1 den Anspruch auf Erziehungsgutschriften im Falle einer Vormundin bejaht, welche einen unmündigen Neffen in persönlicher Obhut hatte. Als massgebend hiefür erachtete das Gericht, dass der Vormund bei Unmündigkeit des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w:t>
      </w:r>
    </w:p>
    <w:p>
      <w:r>
        <w:rPr>
          <w:b/>
        </w:rPr>
        <w:t>E. 3</w:t>
      </w:r>
    </w:p>
    <w:p>
      <w:r>
        <w:t>a) Die Beschwerdeführerin stellt sich auf den Standpunkt, im Hinblick auf die Rechtsprechung gemäss BGE 126 V 1 sei der Anspruch auf Erziehungsgutschrift im vorliegenden Fall schon aus Gründen der Rechtsgleichheit zu bejahen. Mit dem genannten Urteil sei der Anspruch auf den Vormund, welcher ein unmündiges Kind unter seiner Obhut habe, ausgedehnt worden, weil ihm faktisch die gleiche Rolle wie dem Inhaber der elterlichen Gewalt zukomme. Dies habe in gleicher Weise zu gelten, wenn jemand die Erziehung eines Kindes ausserhalb der Vormundschaft übernehme, weil ebenfalls kein anderer Inhaber der elterlichen Gewalt mehr vorhanden sei. Der Beschwerdeführerin sei anders als im genannten Urteil kein Kostgeld zugeflossen, obwohl sie objektiv betrachtet die gleiche Erziehungsaufgabe übernommen habe. Im Gegenteil sei sie verpflichtet worden, auch für den finanziellen Unterhalt des Kindes aufzukommen. Die Verweigerung von Erziehungsgutschriften stelle unter diesen Umständen eine Ungleichbehandlung im Sinne von Art. 8 Abs. 1 BV dar.</w:t>
      </w:r>
    </w:p>
    <w:p>
      <w:r>
        <w:t>b) Der Auffassung der Beschwerdeführerin kann nicht beigepflichtet werden. Ausschlaggebend dafür, dass der Anspruch auf Erziehungsgutschrift in BGE 126 V 1 bejaht wurde, war der Umstand, dass sich das Kind unter der persönlichen Obhut der Vormundin befunden hatte und dieser nach der zivilrechtlichen Ordnung Befugnisse zustanden, die der elterlichen Gewalt gleichkommen und welche sie nicht bloss vertretungsweise, sondern grundsätzlich selbstständig ausgeübt hatte ( BGE 126 V 3 Erw. 4a). Demgegenüber verfügte die Beschwerdeführerin als Pflegemutter lediglich über die Befugnis, die leiblichen Eltern in der elterlichen Gewalt zu vertreten, soweit es zur gehörigen Erfüllung ihrer Aufgaben angezeigt war ( Art. 300 Abs. 1 ZGB ). Dass die leibliche Mutter und der ausländische Beistand des Kindes auf ihr Sorgerecht verzichtet hatten, hat hieran nichts geändert. Weil sich das Kind nicht unter elterlicher Gewalt befand, hätte es gemäss Art. 368 Abs. 1 ZGB unter Vormundschaft gehört. Dass eine Vormundschaft erst am 11. Juli 1978 errichtet wurde, ändert nichts daran, dass die Beschwerdeführerin auch in der vorangegangenen Zeit nicht über die elterliche Gewalt verfügte. Die Tatsache allein, dass sie das Kind in ihrer persönlichen Obhut hatte und faktisch auch die elterliche Gewalt ausübte, genügt nach der gesetzlichen Regelung, welche auf die zivilrechtlichen Verhältnisse abstellt, nicht für den Anspruch auf Erziehungsgutschriften. Unerheblich ist sodann, dass das Pflegeverhältnis im Hinblick auf eine Adoption erfolgte und aus welchen Gründen die Adoption nicht zustande kam. Nach den Materialien entspricht es dem Willen des Gesetzgebers, die Anrechnung von Erziehungsgutschriften bei Pflegeverhältnissen auszuschliessen und einen Anspruch erst mit der Adoption entstehen zu lassen (vgl. BGE 125 V 247 Erw. 2b sowie Amtl. Bull. 1994 S 550). Es liegt in Bezug auf den vorliegenden Sachverhalt auch keine Lücke im Gesetz vor, welche vom Richter auszufüllen wäre (vgl. BGE 125 V 248 Erw. 3). Schliesslich beruft sich die Beschwerdeführerin unter Hinweis auf BGE 126 V 1 zu Unrecht auf den Grundsatz der Gleichbehandlung von Art. 8 Abs. 1 BV , bestehen in Bezug auf die beiden Sachverhalte doch tatsächliche und rechtliche Unterschiede, die eine andere Beurteilung zu rechtfertigen vermögen.</w:t>
      </w:r>
    </w:p>
    <w:p>
      <w:r>
        <w:t>Demnach erkennt das Eidg. Versicherungsgericht:</w:t>
      </w:r>
    </w:p>
    <w:p>
      <w:r>
        <w:t>I. Die Verwaltungsgerichtsbeschwerde wird abgewiesen.</w:t>
      </w:r>
    </w:p>
    <w:p>
      <w:r>
        <w:t>II. Es werden keine Gerichtskosten erhoben.</w:t>
      </w:r>
    </w:p>
    <w:p>
      <w:r>
        <w:t>III. Dieses Urteil wird den Parteien, dem Verwaltungsge-</w:t>
      </w:r>
    </w:p>
    <w:p>
      <w:r>
        <w:t>richt des Kantons Luzern, Sozialversicherungsrechtli-</w:t>
      </w:r>
    </w:p>
    <w:p>
      <w:r>
        <w:t>che Abteilung, und dem Bundesamt für Sozialversiche-</w:t>
      </w:r>
    </w:p>
    <w:p>
      <w:r>
        <w:t>rung zugestellt.</w:t>
      </w:r>
    </w:p>
    <w:p>
      <w:r>
        <w:t>Luzern, 17. Januar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