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340/01 vom 7. Mai 2004</w:t>
      </w:r>
    </w:p>
    <w:p>
      <w:r>
        <w:t>Bundesgericht, 2004-05-07, DE</w:t>
      </w:r>
    </w:p>
    <w:p>
      <w:r>
        <w:rPr>
          <w:b/>
        </w:rPr>
        <w:t xml:space="preserve">Quelle: </w:t>
      </w:r>
      <w:r>
        <w:t>https://mcp.opencaselaw.ch/entscheid/bger_H_340_01</w:t>
      </w:r>
    </w:p>
    <w:p>
      <w:r>
        <w:t>FR: TF H 340/01 du 7 mai 2004</w:t>
      </w:r>
    </w:p>
    <w:p>
      <w:r>
        <w:t>IT: TF H 340/01 del 7 maggio 2004</w:t>
      </w:r>
    </w:p>
    <w:p>
      <w:pPr>
        <w:pStyle w:val="Heading2"/>
      </w:pPr>
      <w:r>
        <w:t>Regeste</w:t>
      </w:r>
    </w:p>
    <w:p>
      <w:r>
        <w:t>Alters- und Hinterlassenenversicherung</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1.2</w:t>
      </w:r>
    </w:p>
    <w:p>
      <w:r>
        <w:t>Der Rechtsstreit dreht sich um die Frage, ob Vorinstanz und Verwaltung zu Recht die Übernahme der gesamten Kosten für die Hörgeräteversorgung abgelehnt und den Anspruch des Beschwerdeführers in Anwendung des Tarifvertrages für die Hörgeräteabgabe, in Kraft seit 1. April 1999, auf Fr. 5219.45 inklusive Mehrwertsteuer, entsprechend dem Höchstbetrag der Indikationsstufe 3 gemäss IV-Tarif zuzüglich Fr. 301.30 für zwei Ohrpassstücke, beschränkt haben. Damit geht es um die Anwendung eines Tarifes im Einzelfall und nicht um eine Tarifstreitigkeit im Sinne von Art. 129 Abs. 1 lit. b OG , weshalb auf die Verwaltungsgerichtsbeschwerde einzutreten ist.</w:t>
      </w:r>
    </w:p>
    <w:p>
      <w:r>
        <w:rPr>
          <w:b/>
        </w:rPr>
        <w:t>E. 2</w:t>
      </w:r>
    </w:p>
    <w:p>
      <w:r>
        <w:t>Der Bundesrat bestimmt,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 Art. 43ter Abs. 1 AHVG ). Er bestimmt, in welchen Fällen Bezüger von Altersrenten Anspruch auf Hilfsmittel für die Ausübung einer Erwerbstätigkeit oder der Tätigkeit in ihrem Aufgabenbereich haben (Abs. 2). Er bezeichnet die Hilfsmittel, welche die Versicherung abgibt oder an welche sie einen Kostenbeitrag gewährt; er regelt die Abgabe sowie das Verfahren und bestimmt, welche Vorschriften des IVG anwendbar sind (Abs. 3).</w:t>
      </w:r>
    </w:p>
    <w:p>
      <w:r>
        <w:rPr>
          <w:b/>
        </w:rPr>
        <w:t>E. 3.1</w:t>
      </w:r>
    </w:p>
    <w:p>
      <w:r>
        <w:t>Der Bundesrat bestimmt, unter welchen Voraussetzungen Bezüger von Altersrenten mit Wohnsitz und gewöhnlichem Aufenthalt in der Schweiz, die für die Fortbewegung, für die Herstellung des Kontaktes mit der Umwelt oder für die Selbstsorge kostspieliger Geräte bedürfen, Anspruch auf Hilfsmittel haben ( Art. 43ter Abs. 1 AHVG ). Er bestimmt, in welchen Fällen Bezüger von Altersrenten Anspruch auf Hilfsmittel für die Ausübung einer Erwerbstätigkeit oder der Tätigkeit in ihrem Aufgabenbereich haben (Abs. 2). Er bezeichnet die Hilfsmittel, welche die Versicherung abgibt oder an welche sie einen Kostenbeitrag gewährt; er regelt die Abgabe sowie das Verfahren und bestimmt, welche Vorschriften des IVG anwendbar sind (Abs. 3). Das Departement regelt die Voraussetzungen für die Abgabe von Hilfsmitteln an Altersrentner, die Art der abzugebenden Hilfsmittel sowie das Abgabeverfahren ( Art. 66ter AHVV ). Gemäss Art. 2 HVA haben in der Schweiz wohnhafte Bezüger von Altersrenten der AHV, die für die Tätigkeit in ihrem Aufgabenbereich, für die Fortbewegung, für die Herstellung des Kontakts mit der Umwelt oder für die Selbstsorge auf Hilfsmittel angewiesen sind, Anspruch auf die in der Liste im Anhang aufgeführten Leistungen. Die Liste umschreibt Art und Umfang der Leistungen für jedes Hilfsmittel abschliessend (Abs. 1). Soweit in der Liste nicht etwas anderes bestimmt wird, leistet die Versicherung einen Kostenbeitrag von 75 Prozent des Nettopreises. Für in der Schweiz wohnhafte Bezüger von Altersrenten, die bis zum Entstehen des Anspruchs auf eine Altersrente Hilfsmittel oder Ersatzleistungen nach den Art. 21 oder 21bis IVG erhalten haben, bleibt der Anspruch auf diese Leistungen in Art und Umfang bestehen, so lange die massgebenden Voraussetzungen weiterhin erfüllt sind und soweit die vorliegende Verordnung nichts anderes bestimmt. Im Übrigen gelten die Bestimmungen der Invalidenversicherung sinngemäss ( Art. 4 HVA ). Gemäss Ziff. 5.57 HVA-Anhang besteht Anspruch auf Hörgeräte für ein Ohr, sofern Versicherte hochgradig schwerhörig sind, das Hörvermögen durch ein solches Gerät namhaft verbessert wird und die Versicherten sich wesentlich besser mit ihrer Umwelt verständigen können. Die Leistung der Versicherung kann höchstens alle fünf Jahre beansprucht werden. Ein früherer Ersatz ist möglich, wenn eine wesentliche Veränderung der Hörfähigkeit dies erfordert. Bestand ein Anspruch schon gegenüber der Invalidenversicherung, so gilt er mindestens im gleichen Umfang gegenüber der AHV weiter (Besitzstandswahrung bei vorangehender Abgabe von Hilfsmitteln durch die Invalidenversicherung [ Art. 4 HVA ]).</w:t>
      </w:r>
    </w:p>
    <w:p>
      <w:r>
        <w:rPr>
          <w:b/>
        </w:rPr>
        <w:t>E. 3.2</w:t>
      </w:r>
    </w:p>
    <w:p>
      <w:r>
        <w:t>Das BSV kann mit Institutionen der Altershilfe oder mit Abgabestellen für Hilfsmittel Verträge über die Abgabe oder die mietweise Überlassung von Hilfsmitteln abschliessen ( Art. 5 HVA ).</w:t>
      </w:r>
    </w:p>
    <w:p>
      <w:r>
        <w:rPr>
          <w:b/>
        </w:rPr>
        <w:t>E. 4.1</w:t>
      </w:r>
    </w:p>
    <w:p>
      <w:r>
        <w:t>Nachdem der Versicherte bereits vor Erreichen des AHV-Alters von der Invalidenversicherung mit Hörgeräten versorgt wurde, richtet sich sein Anspruch auf Grund der Besitzstandregelung von Art. 4 HVA nach der invalidenversicherungsrechtlichen Hilfsmittelregelung ( BGE 119 V 225 ).</w:t>
      </w:r>
    </w:p>
    <w:p>
      <w:r>
        <w:rPr>
          <w:b/>
        </w:rPr>
        <w:t>E. 4.2</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BSV angemessene Höchstbeiträge im Sinne von Artikel 27 IVG festgelegt werden (Abs. 4). Gemäss Ziff. 5.07 HVI-Anhang steht den Versicherten der Anspruch auf Abgabe von Hörgeräten bei Schwerhörigkeit zu, sofern das Hörvermögen durch ein solches Gerät namhaft verbessert wird und sie sich wesentlich besser mit der Umwelt verständigen können.</w:t>
      </w:r>
    </w:p>
    <w:p>
      <w:r>
        <w:rPr>
          <w:b/>
        </w:rPr>
        <w:t>E. 4.2.1</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26bis Abs. 1 IVG ). Von der ihm durch Abs. 2 des Art. 26bis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11 Erw. 5b, ZAK 1982 325 Erw. 3). Entsprechend eingeschränkt ist die Prüfungszuständigkeit des Sozialversicherungsgerichts (EVGE 1968 263; Meyer-Blaser, Rechtsprechung des Bundesgerichts zum IVG, Zürich 1997, S. 188).</w:t>
      </w:r>
    </w:p>
    <w:p>
      <w:r>
        <w:rPr>
          <w:b/>
        </w:rPr>
        <w:t>E. 4.2.2</w:t>
      </w:r>
    </w:p>
    <w:p>
      <w:r>
        <w:t>Das Bundesamt sorgt für eine einheitliche Anwendung des Gesetzes ( Art. 64 Abs. 2 2 . Satz IVG).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 Rechtsregeln, sondern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ZAK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127 V 61 Erw. 3a, 126 V 68 Erw. 4b,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versicherte Person - Versicherung) nicht rechtswirksam zu beschränken ( BGE 123 V 18 , 114 V 90,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IV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 notwendig, aber auch genügend ist ( BGE 124 V 110 Erw. 2a, 122 V 214 Erw. 2c,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substantiiert begründen, weshalb die ihr - gestützt auf den vermutungsweise eine ausreichende Eingliederung zulassenden Tarifvertrag - zugesprochene Hörgeräteversorgung in ihrem Fall dem Eingliederungsziel der adäquaten Verständigung nicht zu genügen vermag. Der Beweis ist erbracht, wenn auf Grund der Aktenlage, insbesondere einer schlüssigen spezialärztlichen und/ 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extremen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besonderen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Auffassung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weitgehend Rechnung trägt und so in der überwiegenden Zahl der Fälle - der Leiter der Ombudsstelle für Hörgeräte spricht in seiner Stellungnahme von 95 % - zu einer hinreichenden Hörgeräteversorgung im Sinne des Gesetzes führt. Eine in jedem einzelnen Versorgungsfall abschliessende Bedeutung kann ihm jedoch aus den dargelegten rechtlichen Gründen nicht zukommen."</w:t>
      </w:r>
    </w:p>
    <w:p>
      <w:r>
        <w:rPr>
          <w:b/>
        </w:rPr>
        <w:t>E. 5</w:t>
      </w:r>
    </w:p>
    <w:p>
      <w:r>
        <w:t>Im zur Publikation vorgesehenen Urteil L. vom 9. Januar 2004, I 281/02, hat das Eidgenössische Versicherungsgericht zur Anwendung des Tarifvertrages Folgendes ausgeführt: "4.2 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6.1</w:t>
      </w:r>
    </w:p>
    <w:p>
      <w:r>
        <w:t>Die Vorinstanz hat eine weitergehende Vergütung abgelehnt und erwogen, die IV-Stelle habe dem Besitzstand (gemäss Art. 4 HVA ) zutreffend Rechnung getragen, indem sie den Hörgerätetarif der Invalidenversicherung und nicht jenen der AHV angewendet und im Rahmen der Indikationsstufe 3 den Beitrag der Invalidenversicherung auf Fr. 2610.- festgelegt habe, zuzüglich Fr. 1965.- für Dienstleistungen und Fr. 301.30 für die Ohrpassstücke/IO-Schalen, total Fr. 5219.45 inklusive Mehrwertsteuer. Demgegenüber macht der Beschwerdeführer geltend, von keiner anderen Behindertengruppe als den Schwerhörigen werde bei der Abgabe der IV-Hilfsmittel eine «persönliche Zuzahlung von 20 bis 30 %» verlangt; der technische Fortschritt werde hier, anders als bei Herzschrittmachern, CI-Implantaten usw. nicht gebührend berücksichtigt. Durch die freiwillige Mitarbeit in verschiedenen Behindertenorganisationen sei er «auf eine bestmögliche Hörgeräteversorgung angewiesen», sodass er den Verhandlungen folgen könne. Die bundesamtlichen Abgabebestimmungen würden alle Hörbehinderten diskriminieren, was gegen den Grundsatz der Gleichbehandlung verstosse.</w:t>
      </w:r>
    </w:p>
    <w:p>
      <w:r>
        <w:rPr>
          <w:b/>
        </w:rPr>
        <w:t>E. 6.2</w:t>
      </w:r>
    </w:p>
    <w:p>
      <w:r>
        <w:t>Die Vorinstanz hat zutreffend dargetan, dass beim Versicherten wegen stark zunehmender, jetzt an Taubheit grenzender Schwerhörigkeit eine Hörgerätewiederversorgung binaural angezeigt ist und er mit insgesamt 79 Punkten die Indikationsstufe 3 erreicht. Bei der Leistungszusprechung hat die IV-Stelle den Hörgerätetarif der Invalidenversicherung und nicht den um 25 % tieferen Tarif der AHV angewendet. Auch hat der Beschwerdeführer Anspruch auf binaurale Versorgung; dies im Gegensatz zur nur monauralen Versorgung für Altersrentner gemäss Ziff. 5.57 HVA-Anhang. Damit ist der Besitzstand des Versicherten nach Art. 4 HVA gewahrt. Soweit der Beschwerdeführer einwendet, bei keiner anderen Hilfsmittelkategorie werde eine Zuzahlung verlangt, übersieht er, dass bei den Hörgeräten - wie auch bei anderen Hilfsmittelkategorien - eine Zuzahlung nur bei den eine einfache und zweckmässige Versorgung übersteigenden Geräten nötig ist, da kein Anspruch auf bestmögliche Versorgung besteht, so wenig wie dies sonst bei der invalidenversicherungsrechtlichen Eingliederung der Fall ist ( BGE 124 V 109 Erw. 2a). Daran ändert nichts, dass er ausführt, auf Grund seiner Mitarbeit in verschiedenen Behindertenorganisationen sei er auf bestmögliche Versorgung angewiesen, damit er den Verhandlungen folgen könne. Der Versicherte hat kraft Besitzstandsgarantie die höchstmögliche Vergütung im Rahmen von Indikationsstufe 3 erhalten. Auch als IV-Rentner hätte er keinen darüber hinausgehenden Anspruch auf Hörgeräteversorgung, wie es das Hörgerät Phonak Claro 21 dAZ darstellt. Es liegen keine Anhaltspunkte für spezifische behinderungsbedingte Defizite vor wie etwa bei Versicherten, die auf Grund ganz besonderer beruflicher Anforderungen (Urteil K. vom 4. März 2004, I 594/02) oder einer speziellen Hörsituation in der erstmaligen beruflichen Ausbildung (Urteil B. vom 4. März 2004, I 326/02) ein invaliditätsbedingtes, gesteigertes Eingliederungsbedürfnis aufweisen, das ausnahmsweise eine die tarifvertraglichen Ansätze übersteigende Hörgeräteversorgung rechtfertigt.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