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339/00 vom 9. Mai 2001</w:t>
      </w:r>
    </w:p>
    <w:p>
      <w:r>
        <w:t>Bundesgericht, 2001-05-09, DE</w:t>
      </w:r>
    </w:p>
    <w:p>
      <w:r>
        <w:rPr>
          <w:b/>
        </w:rPr>
        <w:t xml:space="preserve">Quelle: </w:t>
      </w:r>
      <w:r>
        <w:t>https://mcp.opencaselaw.ch/entscheid/bger_H_339_00</w:t>
      </w:r>
    </w:p>
    <w:p>
      <w:r>
        <w:t>FR: TF H 339/00 du 9 mai 2001</w:t>
      </w:r>
    </w:p>
    <w:p>
      <w:r>
        <w:t>IT: TF H 339/00 del 9 maggio 2001</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kantonale Rekurskommission hat unter Hinweis auf Gesetz ( Art. 52 AHVG ) und Rechtsprechung (vgl. statt vieler BGE 123 V 15 Erw. 5a) die Voraussetzungen zutreffend dargelegt, unter welchen Organe juristischer Personen den der Ausgleichskasse wegen Missachtung der Vorschriften über die Beitragsabrechnung und -zahlung ( Art. 14 Abs. 1 AHVG ; Art. 34 ff. AHVV ) qualifiziert schuldhaft verursachten Schaden zu ersetzen haben. Darauf wird verwiesen.</w:t>
      </w:r>
    </w:p>
    <w:p>
      <w:r>
        <w:rPr>
          <w:b/>
        </w:rPr>
        <w:t>E. 3</w:t>
      </w:r>
    </w:p>
    <w:p>
      <w:r>
        <w:t>Die Vorinstanz hat für das Eidgenössische Versicherungsgericht verbindlich (Erw. 1 hievor) festgestellt, dass die Ausgleichskasse in der Schadenersatzverfügung versehentlich den Namen "D.________ AG" benutzt hat und der Beschwerdeführer selber davon ausgegangen ist, dass Beitragsverfügung, Schlussabrechnung und Schadenersatzverfügung Beiträge betrafen, welche von der D.________ AG, Zweigniederlassung, und nicht von der D.________ AG geschuldet waren. Inwiefern diese Feststellung bundesrechtswidrig sein sollte, ist nicht ersichtlich. Hat der Beschwerdeführer den massgebenden Sachverhalt trotz der fehlerhaften Firmenbezeichnung richtig erkannt, kann er aus dem Versehen der Kasse nichts zu seinen Gunsten ableiten.</w:t>
      </w:r>
    </w:p>
    <w:p>
      <w:r>
        <w:rPr>
          <w:b/>
        </w:rPr>
        <w:t>E. 4</w:t>
      </w:r>
    </w:p>
    <w:p>
      <w:r>
        <w:t>Auch hinsichtlich Schadenhöhe und Verschulden ist der kantonale Entscheid nicht zu beanstanden. Auf die entsprechenden Erwägungen wird verwiesen. Gerade faktisch von der Geschäftsführung ausgeschlossene Verwaltungsräte haben sich umso energischer um Einsicht in die Firmenbücher zu bemühen. Mit den - in den Akten nicht belegten - Mahnungen an den Geschäftsführer allein hat der Beschwerdeführer seine Pflichten als Verwaltungsrat ( Art. 716a Abs. 1 und Art. 717 Abs. 1 OR ) nicht genügend wahrgenommen. Exkulpationsgründe sind keine ersichtlich. Eine solche Passivität ist grobfahrlässig im Sinne von Art. 52 AHVG (ZAK 1989 S. 104).</w:t>
      </w:r>
    </w:p>
    <w:p>
      <w:r>
        <w:rPr>
          <w:b/>
        </w:rPr>
        <w:t>E. 5</w:t>
      </w:r>
    </w:p>
    <w:p>
      <w:r>
        <w:t>Das Verfahren ist kostenpflichtig ( Art. 134 OG e contrario). Der unterliegende Beschwerdeführer hat die Gerichtskosten zu tragen ( Art. 156 Abs. 1 OG ). Demnach erkennt das Eidg. Versicherungsgericht: I.Die Verwaltungsgerichtsbeschwerde wird abgewiesen. II.Die Gerichtskosten von total Fr. 3000.- werden dem Beschwerdeführer auferlegt und mit dem geleisteten Kostenvorschuss verrechnet. III. Dieses Urteil wird den Parteien, der Kantonalen Rekurskommission für die Ausgleichskassen und die IV-Stellen Basel-Stadt und dem Bundesamt für Sozialversicherung zugestellt. Luzern, 9. Mai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