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H_301/2001 vom 29. März 2005</w:t>
      </w:r>
    </w:p>
    <w:p>
      <w:r>
        <w:t>Bundesgericht, 2005-03-29, DE</w:t>
      </w:r>
    </w:p>
    <w:p>
      <w:r>
        <w:rPr>
          <w:b/>
        </w:rPr>
        <w:t xml:space="preserve">Quelle: </w:t>
      </w:r>
      <w:r>
        <w:t>https://mcp.opencaselaw.ch/entscheid/bger_H_301_2001</w:t>
      </w:r>
    </w:p>
    <w:p>
      <w:r>
        <w:t>FR: TF H_301/2001 du 29 mars 2005</w:t>
      </w:r>
    </w:p>
    <w:p>
      <w:r>
        <w:t>IT: TF H_301/2001 del 29 marzo 2005</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ist, ob die Erträge der Vermietung der Liegenschaften in Y.________ als AHV-beitragspflichtiges Einkommen zu qualifizieren sind. Wie die Vorinstanz zutreffend erwogen hat, entfalten Meldungen der Steuerbehörden gemäss Art. 23 Abs. 4 AHVV nur hinsichtlich des Quantitativs der erzielten Einkommen und des in den Betrieb investierten Eigenkapitals Bindungswirkung. Die Bindung betrifft die beitragsrechtliche Qualifikation nicht und beschlägt somit die Frage nicht, ob überhaupt Erwerbseinkommen erzielt worden ist ( BGE 121 V 83 Erw. 2c; AHI 1997 S. 25 f. Erw. 2b). Das Vorbringen in der Verwaltungsgerichtsbeschwerde, die Beitragsverfügungen der Ausgleichskasse seien gemäss den Angaben in den rechtskräftigen Steuertaxationen und nicht auf Grund der Rektifikate der Steuerbehörde festzulegen, ist daher nicht stichhaltig.</w:t>
      </w:r>
    </w:p>
    <w:p>
      <w:r>
        <w:rPr>
          <w:b/>
        </w:rPr>
        <w:t>E. 3.1</w:t>
      </w:r>
    </w:p>
    <w:p>
      <w:r>
        <w:t>Der sozialversicherungsrechtlichen Beitragspflicht unterliegen grundsätzlich alle Einkünfte, die sich aus irgendeiner auf Erwerb gerichteten Tätigkeit ( Art. 4 Abs. 1 AHVG ) ergeben, gleichgültig, ob diese im Haupt- oder Nebenberuf und ob sie regelmässig oder nur einmalig ausgeübt wird. Demgegenüber schulden die Versicherten vom reinen Kapitalertrag keine Beiträge, weil die blosse Verwaltung des persönlichen Vermögens nicht Erwerbstätigkeit im Sinne des AHV-Beitragsrechts ist ( BGE 111 V 83 , 110 V 86 Erw. 5; SVR 1994 AHV Nr. 13 S. 31; ZAK 1987 S. 296 Erw. 2a und 1984 S. 224 Erw. 1b mit Hinweisen).</w:t>
      </w:r>
    </w:p>
    <w:p>
      <w:r>
        <w:rPr>
          <w:b/>
        </w:rPr>
        <w:t>E. 3.2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es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in Kraft getretenen DBG, wobei die in diesem Gesetz enthaltenen Änderungen zu berücksichtigen sind (vgl. BGE 125 V 388 Erw. 2d; Urteil K. vom 7. Juni 2004, H 36/03, Erw. 4.2).</w:t>
      </w:r>
    </w:p>
    <w:p>
      <w:r>
        <w:rPr>
          <w:b/>
        </w:rPr>
        <w:t>E. 3.3</w:t>
      </w:r>
    </w:p>
    <w:p>
      <w:r>
        <w:t>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Greber/ Duc/Scartazzini, Commentaire des articles 1 à 16 de la loi fédérale sur l'assurance-vieillesse et survivants [LAVS], S. 272). Gleich verhält es sich mit der Vermietung von Geschäftsräumlichkeiten. Dagegen erhält die Vermietertätigkeit dann betrieblichen Charakter, wenn sie die blosse Gebäudeverwaltung übersteigt ( BGE 110 V 86 Erw. 5a; ZAK 1987 S. 519 Erw.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4.1</w:t>
      </w:r>
    </w:p>
    <w:p>
      <w:r>
        <w:t>Nach den verbindlichen und unbestrittenen Feststellungen des kantonalen Gerichts gründete der Beschwerdeführer im Jahre 1986 zusammen mit zwei weiteren Personen die Baugesellschaft X.________, welche zum Zwecke der Überbauung und der anschliessenden Verwaltung der Liegenschaften Grundstücke in Y.________ erwarb. Bevor er am 1. Januar 1995 eine selbstständige Erwerbstätigkeit als Architekt aufnahm, war er im Architekturbüro seines Vaters in der Funktion eines Bauleiters und Architekten angestellt gewesen. An der Überbauung X.________ war der Beschwerdeführer anfänglich im Umfang von 8,2 % und ab 1995 gleichbleibend zu 10,08 % beteiligt. Ab dem Jahre 1995 betrug sein Anteil am Gesamteigentum wertmässig ungefähr Fr. 500'000.- und die anteilsmässige Baukreditschuld circa Fr. 400'000.-. Zusammen mit der Ehefrau besorgt er die Verwaltung der Überbauungen. Die Einnahmen aus dieser Tätigkeit werden als Einkommen aus selbstständiger Erwerbstätigkeit deklariert und sind der AHV-Beitragspflicht unterstellt.</w:t>
      </w:r>
    </w:p>
    <w:p>
      <w:r>
        <w:t>Aus diesen Umständen zog das kantonale Gericht den Schluss, dass die aus der Vermietung der Liegenschaften erzielten Erträge beitragsrechtlich als Einkommen aus selbstständiger Erwerbstätigkeit zu qualifizieren seien. Dafür spreche, dass der Beschwerdeführer sich mit anderen Personen zum Zwecke des Erwerbs von Bauland und dessen Überbauung mit Mehrfamilienhäusern in der Baugesellschaft X.________ zusammengeschlossen habe. Er sei zudem als Bauleiter und Architekt in der Baubranche tätig und verwalte auf Grund eines Mandats die erstellten Mietshäuser. Er besitze zwar einen relativ kleinen Anteil an der Gesellschaft, bei Aufnahme der Erwerbstätigkeit als selbstständiger Architekt hätten die ihm zustehenden Mieterträge aber einen bedeutenden Teil seines gesamten Einkommens ausgemacht.</w:t>
      </w:r>
    </w:p>
    <w:p>
      <w:r>
        <w:rPr>
          <w:b/>
        </w:rPr>
        <w:t>E. 4.2</w:t>
      </w:r>
    </w:p>
    <w:p>
      <w:r>
        <w:t>Demgegenüber bringt der Beschwerdeführer vor, der Zweck der Investition in die Überbauung in Y.________ sei ausschliesslich die Anlage privaten Kapitals gewesen, was sich klar aus den Steuerdeklarationen ergebe. Der Anteil der Fremdfinanzierung (75 %) am Investitionsvolumen liege im Rahmen des Üblichen beim Erwerb von Liegenschaften durch Privatpersonen. Aus der Aufnahme der freiberuflichen Erwerbstätigkeit als Architekt könne nicht auf einen gewerbsmässigen Liegenschaftenhandel geschlossen werden.</w:t>
      </w:r>
    </w:p>
    <w:p>
      <w:r>
        <w:rPr>
          <w:b/>
        </w:rPr>
        <w:t>E. 5.1</w:t>
      </w:r>
    </w:p>
    <w:p>
      <w:r>
        <w:t>Die Akten enthalten keine Anhaltspunkte dafür, dass der Beschwerdeführer den Anteil an der einfachen Gesellschaft "Baugesellschaft X.________" und den von dieser gehaltenen Liegenschaften für Zwecke seines Geschäfts als Architekt erworben hätte oder dass diese dem Geschäft tatsächlich dienen oder sonst wie in einem wirtschaftlichen Zusammenhang dazu stehen würden. Vielmehr ist von einer selbstständigen Erwerbstätigkeit einerseits und dem Halten einer Beteiligung andererseits auszugehen, welche eine verwandte Branche betreffen, aber voneinander unabhängig sind. Ebenso wenig ist die zusammen mit der (ihrerseits an der einfachen Gesellschaft nicht beteiligten) Ehefrau ausgeübte Tätigkeit als Verwalter der Liegenschaften für die Qualifikation der Liegenschaftserträge entscheidend, zumal das Ehepaar trotz einer relativ geringen anteilsmässigen Beteiligung die gesamte Verwaltung besorgt und andere, insbesondere auf Verwandtschaft beruhende Gründe vorliegen, welche die Übernahme dieser Funktion mitbeeinflusst haben dürften. Die umstrittenen Liegenschaftserträge können daher nicht als Einkünfte aus einem vom Beschwerdeführer selbst betriebenen selbstständigen Erwerb gelten.</w:t>
      </w:r>
    </w:p>
    <w:p>
      <w:r>
        <w:rPr>
          <w:b/>
        </w:rPr>
        <w:t>E. 5.2</w:t>
      </w:r>
    </w:p>
    <w:p>
      <w:r>
        <w:t>Als Selbstständigerwerbende gelten auch Teilhaber einer einfachen Gesellschaft mit erwerblicher Zweckverfolgung, und zwar unabhängig von Art und Umfang ihres Beitrages zur Erreichung des Gesellschaftszweckes (vgl. Art. 20 Abs. 3 AHVV ; ZAK 1984 S. 223; Urteil S. vom 10. April 2002, H 243/00, Erw. 2b; vgl. auch BGE 121 V 82 Erw. 2a am Ende, 114 V 4 Erw. 3b). Es bleibt demnach zu prüfen, ob auf der Ebene der Baugesellschaft X.________ eine selbstständige Erwerbstätigkeit vorliegt.</w:t>
      </w:r>
    </w:p>
    <w:p>
      <w:r>
        <w:t>Nach dem Gesagten (Erw. 3.2 hievor) ist für die Abgrenzung zwischen selbstständiger Erwerbstätigkeit und Vermögensverwaltung grundsätzlich von der steuerrechtlichen Praxis zur Unterscheidung zwischen Privat- und Geschäftsvermögen auszugehen. Das Bundesgericht hat dazu im Urteil K. vom 23. Januar 2004, 2A.52/2003, Erw. 2.5, festgehalten, die Vermietung eigener Liegenschaften gehöre ausgesprochen zur üblichen Verwaltung privaten (Anlage-)Vermögens und bei der Annahme, sie sei Gegenstand eines geschäftlichen Betriebes - mithin einer (selbstständigen) Erwerbstätigkeit - sei grösste Zurückhaltung geboten. Insbesondere seien in dieser Konstellation, also bei der Vermietung von Gebäuden und Räumlichkeiten ohne Tätigung von Käufen und Verkäufen, die zum Liegenschaftshandel entwickelten Kriterien ( BGE 125 II 118 Erw. 3c) nicht massgebend. Der Eigentümer, der seine Liegenschaft(en) mit Wohn- oder Geschäftsbauten überbaut, um aus deren Vermietung einen Ertrag zu erzielen, verwaltet demnach normalerweise privates Vermögen, und das Vermieten von Wohnblöcken gilt als Vermögensverwaltung, auch wenn der Vermieter die Wohnungen instand halten und nötigenfalls neue Mieter suchen muss. Diese Rechtsprechung kann mit Bezug auf den vorliegenden Fall für die beitragsrechtliche Beurteilung übernommen werden. Dementsprechend haben die Überbauung der Grundstücke in Y.________ und die anschliessende Vermietung der erstellten Gebäude nicht als selbstständige Erwerbstätigkeit zu gelten. Entgegen der Auffassung der Vorinstanz gelangen die mit Bezug auf den eigentlichen Liegenschaftenhandel entwickelten Kriterien nicht zur Anwendung, da die Baugesellschaft X.________ nach Lage der Akten gerade keinen Handel betrieb, sondern sich auf den Bau und das anschliessende Vermieten von Wohn- und Geschäftsräumlichkeiten beschränkte.</w:t>
      </w:r>
    </w:p>
    <w:p>
      <w:r>
        <w:rPr>
          <w:b/>
        </w:rPr>
        <w:t>E. 6</w:t>
      </w:r>
    </w:p>
    <w:p>
      <w:r>
        <w:t>Da es nicht um die Bewilligung oder Verweigerung von Versicherungsleistungen geht, ist das Verfahren kostenpflichtig ( Art. 134 OG e contrario). Dem Prozessausgang entsprechend hat die Beschwerdegegnerin die Gerichtskosten zu tragen und dem Beschwerdeführer eine Parteientschädigung zu entrichten (Art. 156 Abs. 1 und Art. 159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