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250/00 vom 29. Januar 2001</w:t>
      </w:r>
    </w:p>
    <w:p>
      <w:r>
        <w:t>Bundesgericht, 2001-01-29, FR</w:t>
      </w:r>
    </w:p>
    <w:p>
      <w:r>
        <w:rPr>
          <w:b/>
        </w:rPr>
        <w:t xml:space="preserve">Quelle: </w:t>
      </w:r>
      <w:r>
        <w:t>https://mcp.opencaselaw.ch/entscheid/bger_H_250_00</w:t>
      </w:r>
    </w:p>
    <w:p>
      <w:r>
        <w:t>FR: TF H 250/00 du 29 janvier 2001</w:t>
      </w:r>
    </w:p>
    <w:p>
      <w:r>
        <w:t>IT: TF H 250/00 del 29 gennaio 2001</w:t>
      </w:r>
    </w:p>
    <w:p>
      <w:pPr>
        <w:pStyle w:val="Heading2"/>
      </w:pPr>
      <w:r>
        <w:t>Regeste</w:t>
      </w:r>
    </w:p>
    <w:p>
      <w:r>
        <w:t>Assurance-vieillesse et survivants</w:t>
      </w:r>
    </w:p>
    <w:p>
      <w:pPr>
        <w:pStyle w:val="Heading2"/>
      </w:pPr>
      <w:r>
        <w:t>Erwägungen</w:t>
      </w:r>
    </w:p>
    <w:p>
      <w:r>
        <w:rPr>
          <w:b/>
        </w:rPr>
        <w:t>E. 1</w:t>
      </w:r>
    </w:p>
    <w:p>
      <w:r>
        <w:t>Selon l' art. 24 al. 2 LAVS in fine, le droit à la rente de veuf s'éteint lorsque le dernier enfant atteint l'âge de 18 ans. En l'espèce, au jour où son épouse est décédée, le recourant avait un fils unique âgé de 23 ans. Dès lors, en vertu de la disposition légale précitée, à laquelle la Convention de sécurité sociale entre la Confédération suisse et l'Espagne ne déroge pas, le recourant ne remplissait pas les conditions ouvrant droit à une rente de veuf.</w:t>
      </w:r>
    </w:p>
    <w:p>
      <w:r>
        <w:rPr>
          <w:b/>
        </w:rPr>
        <w:t>E. 2</w:t>
      </w:r>
    </w:p>
    <w:p>
      <w:r>
        <w:t>Ce dernier allègue qu'il est victime d'une inégalité de traitement et de discrimination, dans la mesure où il ne peut bénéficier d'une rente de conjoint survivant aux mêmes conditions que les veuves. Il demande en conséquence au Tribunal de lui allouer une rente de veuf. Ce moyen est mal fondé. Ainsi que la commission de recours l'a rappelé à juste titre, le Tribunal fédéral et les autres autorités sont tenus d'appliquer les lois fédérales et le droit international ( art. 191 Cst. ), comme c'était aussi le cas sous l'empire de l'ancienne Constitution en vigueur jusqu'au 31 décembre 1999 (art. 113 al. 3 et 114bis al. 3 aCst.). La Cour de céans ne saurait donc s'écarter de la règle découlant de l' art. 24 al. 2 LAVS (cf. aussi, par analogie, ATF 121 V 229 ). Manifestement infondé, le recours ne peut qu'être rejeté ( art. 36a, al. 1,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