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236/00 vom 29. Januar 2001</w:t>
      </w:r>
    </w:p>
    <w:p>
      <w:r>
        <w:t>Bundesgericht, 2001-01-29, FR</w:t>
      </w:r>
    </w:p>
    <w:p>
      <w:r>
        <w:rPr>
          <w:b/>
        </w:rPr>
        <w:t xml:space="preserve">Quelle: </w:t>
      </w:r>
      <w:r>
        <w:t>https://mcp.opencaselaw.ch/entscheid/bger_H_236_00</w:t>
      </w:r>
    </w:p>
    <w:p>
      <w:r>
        <w:t>FR: TF H 236/00 du 29 janvier 2001</w:t>
      </w:r>
    </w:p>
    <w:p>
      <w:r>
        <w:t>IT: TF H 236/00 del 29 gennaio 2001</w:t>
      </w:r>
    </w:p>
    <w:p>
      <w:pPr>
        <w:pStyle w:val="Heading2"/>
      </w:pPr>
      <w:r>
        <w:t>Regeste</w:t>
      </w:r>
    </w:p>
    <w:p>
      <w:r>
        <w:t>Assurance-vieillesse et survivants</w:t>
      </w:r>
    </w:p>
    <w:p>
      <w:pPr>
        <w:pStyle w:val="Heading2"/>
      </w:pPr>
      <w:r>
        <w:t>Erwägungen</w:t>
      </w:r>
    </w:p>
    <w:p>
      <w:r>
        <w:rPr>
          <w:b/>
        </w:rPr>
        <w:t>E. 1</w:t>
      </w:r>
    </w:p>
    <w:p>
      <w:r>
        <w:t>Les décisions litigieuses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recourante se plaint d'un déni de justice formel ensuite des refus des juridictions cantonales fribourgeoise et vaudoise d'entrer en matière sur son action en réparation du dommage résultant de la faillite de la société. a) Tandis que le recours a été déposé en temps utile contre le jugement de la juridiction cantonale vaudoise du 26 avril 2000, le délai pour recourir contre le jugement de la juridiction cantonale fribourgeoise du 7 février 2000 était en revanche échu au moment du dépôt du recours. L'écriture du 15 juin 2000 de la juridiction cantonale fribourgeoise - à qui le dossier avait été retourné par la juridiction cantonale vaudoise - constitue toutefois un refus de statuer, lui-même attaquable par la voie du recours de droit administratif devant le Tribunal fédéral des assurances (art. 97 al. 2 en liaison avec l' art. 128 OJ ). b) Bien que cela ne figure pas expressément aux art. 29 et 30 Cst. les garanties de procédure judiciaire comprennent le droit de toute personne désireuse d'introduire une action et d'accéder aux tribunaux. Le droit à un procès équitable proscrit donc le déni de justice (Auer/Malinverni/Hottelier, Droit constitutionnel suisse, Vol. II, Berne 2000, n. 1170 p. 565; cf. également le nouvel art. 29a Cst , adopté le 12 mars 2000 en votation populaire mais qui n'est toutefois pas encore entré en vigueur).</w:t>
      </w:r>
    </w:p>
    <w:p>
      <w:r>
        <w:rPr>
          <w:b/>
        </w:rPr>
        <w:t>E. 3</w:t>
      </w:r>
    </w:p>
    <w:p>
      <w:r>
        <w:t>a) En l'occurrence, pour qu'il y ait conflit négatif de compétences, il ne suffit pas que les juridictions cantonales fribourgeoise et vaudoise se soient toutes deux déclarées incompétentes pour connaître du litige. Encore faut-il que l'une ou l'autre de ces juridictions soit effectivement compétente (cf. Haefliger, Alle Schweizer sind vor dem Gesetze gleich, Berne 1985, p. 116). b) En ce qui concerne la compétence à raison du lieu de l'autorité cantonale de recours dans les procès en réparation du dommage selon l' art. 52 LAVS , l' art. 81 al. 3 RAVS dispose que la caisse de compensation doit, dans les 30 jours à compter du moment où elle a eu connaissance de l'opposition, porter le cas par écrit devant l'autorité de recours du canton dans lequel l'employeur a son domicile. A ce sujet, le Tribunal fédéral des assurances a jugé, à réitérées reprises, que l' art. 81 al. 3 RAVS ne règle pas expressément la compétence à raison du lieu de l'autorité cantonale de recours saisie d'actions en réparation du dommage intentées contre des personnes morales ou contre leurs organes. Selon la jurisprudence, l'action doit être introduite en pareils cas devant l'autorité de recours du canton dans lequel la personne morale a, ou avait jusqu'à la faillite, son siège, cela sans égard au domicile des organes mis en cause ( ATF 110 V 358 consid. 4b, 109 V 101; VSI 1995 p. 198 s. consid. 3a). En outre, le Tribunal fédéral des assurances a jugé que le principe susmentionné vaut aussi en cas de transfert du siège ou du domicile peu de temps avant le prononcé de la décision en réparation du dommage ou avant l'introduction de l'action en réparation du dommage, la règle de l' art. 200 al. 4 RAVS n'étant pas applicable (VSI 1995 p. 199 consid. 3a). c) En l'espèce, la société avait son siège à X.________ au moment du prononcé de la faillite, comme cela ressort d'un extrait du Registre du commerce de V.________. Par ailleurs, il n'y a pas de motif, dans le cas particulier, de s'écarter de la règle selon laquelle l'action en réparation du dommage doit être introduite devant l'autorité de recours du canton dans lequel la personne morale avait son siège au moment de la faillite, en l'occurrence le canton de Fribourg. Ainsi, contrairement à ce que soutient la juridiction cantonale, il n'est pas déterminant que la faillite a été prononcée par une juridiction vaudoise ni que le dommage consiste en des cotisations dues essentiellement pour la période durant laquelle la société avait son siège dans le canton de Vaud, dès lors qu'il est établi que la société avait son siège dans le canton de Fribourg au moment de la faillite. d) Vu ce qui précède, la juridiction cantonale fribourgeoise n'était pas en droit de se déclarer incompétente à raison du lieu pour connaître de l'action en réparation du dommage intentée par la caisse. Toutefois, avant de signifier son refus de statuer par acte du 15 juin 2000, elle avait déjà refusé d'entrer en matière sur cette action par son jugement du 7 février 2000, entré en force. Or, la sécurité du droit exige que le régime juridique défini par le prononcé d'une juridiction administrative ayant force de chose décidée ne puisse être remis en cause. Cette exigence ne saurait cependant prévaloir lorsque, comme en l'espèce, le prononcé en cause entraîne une violation grave de garanties essentielles (dans ce sens : Moor, Droit administratif, Vol. II, Berne 1991, p. 215) ou conduit à une situation choquante pour le sens du droit ou pour l'équité (Knapp, Précis de droit administratif, 4ème édition, Bâle et Francfort-sur-le-Main 1991, n. 1191 p. 259). Ainsi, dans la mesure où, en l'espèce, la sécurité du droit n'est pas sérieusement mise en danger, le jugement d'irrecevabilité de la juridiction cantonale fribourgeoise du 7 février 2000 doit être déclaré nul, du moment qu'il viole d'une manière particulièrement grave une garantie essentielle et que le vice dont il est entaché est facilement décelable ( ATF 122 I 99 consid. 3a/aa, 117 Ia 220 s. consid. 8a et les références; Häfelin/Müller, Grundriss des Allgemeinen Verwaltungsrechts, 3ème édition, Zurich 1998, n. 769 p. 196). e) Cela étant, il convient de renvoyer la cause au Tribunal administratif du canton de Fribourg en l'invitant à entrer en matière sans tarder sur l'action en réparation du dommage introduite par la caisse contre A.________, B.________ et M.________ A.________.</w:t>
      </w:r>
    </w:p>
    <w:p>
      <w:r>
        <w:rPr>
          <w:b/>
        </w:rPr>
        <w:t>E. 4</w:t>
      </w:r>
    </w:p>
    <w:p>
      <w:r>
        <w:t>a) Le recours est dès lors bien fondé dans la mesure où il est dirigé contre le refus de statuer de la juridiction cantonale fribourgeoise. La procédure, qui ne concerne pas l'octroi ou le refus de prestations d'assurance n'est pas gratuite ( art. 134 OJ a contrario). En principe, des frais judiciaires ne peuvent être mis à la charge d'un canton qui n'est pas partie au procès et dont les intérêts pécuniaires ne sont pas en cause (art. 156 al. 2 en liaison avec l' art. 135 OJ ). Toutefois, conformément à l' art. 156 al. 6 OJ , il y a lieu de déroger à ce principe lorsque la décision attaquée (en l'occurrence le refus de statuer) viole de manière qualifiée le droit d'accéder à un tribunal et cause de ce fait des frais aux parties (arrêts non publiés B. du 13 juillet 2000, H 290/98, B. du 24 novembre 1999, C 179/98 et C. du 3 novembre 1998, K 163/97). Aussi, les frais de justice seront-ils supportés pour une moitié par l'Etat de Fribourg. La recourante, qui a conclu à l'octroi de dépens, ne saurait toutefois en prétendre, aucune indemnité pour les frais de procès n'étant allouée, en règle générale, aux organismes chargés de tâches de droit public (art. 159 al. 2 in fine OJ; ATF 118 V 169 s. consid. 7 et les références). b) En tant qu'il remet en cause le jugement d'irrecevabilité de la juridiction cantonale vaudoise du 26 avril 2000, le recours est mal fondé et la recourante supportera les frais de justice pour l'autre moitié ( art. 156 al. 3 OJ ). Elle versera en outre aux intimés une indemnité à titre de dépens partiels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