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232/02 vom 7. Juli 2003</w:t>
      </w:r>
    </w:p>
    <w:p>
      <w:r>
        <w:t>Bundesgericht, 2003-07-07, DE</w:t>
      </w:r>
    </w:p>
    <w:p>
      <w:r>
        <w:rPr>
          <w:b/>
        </w:rPr>
        <w:t xml:space="preserve">Quelle: </w:t>
      </w:r>
      <w:r>
        <w:t>https://mcp.opencaselaw.ch/entscheid/bger_H_232_02</w:t>
      </w:r>
    </w:p>
    <w:p>
      <w:r>
        <w:t>FR: TF H 232/02 du 7 juillet 2003</w:t>
      </w:r>
    </w:p>
    <w:p>
      <w:r>
        <w:t>IT: TF H 232/02 del 7 luglio 2003</w:t>
      </w:r>
    </w:p>
    <w:p>
      <w:pPr>
        <w:pStyle w:val="Heading2"/>
      </w:pPr>
      <w:r>
        <w:t>Regeste</w:t>
      </w:r>
    </w:p>
    <w:p>
      <w:r>
        <w:t>Alters- und Hinterlassenenversicherung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1.2</w:t>
      </w:r>
    </w:p>
    <w:p>
      <w:r>
        <w:t>Die bundesrechtliche Verfügungsgrundlage bestimmt sich danach, ob der materiellrechtliche Streitgegenstand dem Bundessozialversicherungsrecht angehört. Zwischen- und Endentscheide kantonaler Gerichte in Bundessozialversicherungsstreitigkeiten über kantonales Verfahrensrecht sind daher mit Verwaltungsgerichtsbeschwerde beim Eidgenössischen Versicherungsgericht anfechtbar, unabhängig davon, ob in der Hauptsache selbst Beschwerde geführt wird ( BGE 126 V 143 ff.).</w:t>
      </w:r>
    </w:p>
    <w:p>
      <w:r>
        <w:rPr>
          <w:b/>
        </w:rPr>
        <w:t>E. 1.3</w:t>
      </w:r>
    </w:p>
    <w:p>
      <w:r>
        <w:t>Die Voraussetzung des nicht wieder gutzumachenden Nachteils ist anders als im staatsrechtlichen Beschwerdeverfahren schon als erfüllt zu betrachten, wenn der Beschwerdeführer ein schutzwürdiges Interesse an der sofortigen Aufhebung oder Abänderung des Entscheides hat ( BGE 116 Ib 238 Erw. 2; Rhinow/Koller/Kiss, Öffentliches Prozessrecht und Justizverfassungsrecht des Bundes, Basel 1996, S. 238 Rz. 1238). Die Bejahung eines nicht wieder gutzumachenden Nachteils bei Gewährung einer lediglich fünftägigen Notfrist unter Androhung der Entscheidfällung auf Grund der Akten bei Säumnis lässt sich mit dem Grundsatz der Raschheit des Verfahrens ( Art. 85 Abs. 2 lit. a AHVG ) nur schwer vereinbaren, zumal dem Beschwerdeführer zuvor schon vier Monate zur Ausarbeitung einer Klageantwort zur Verfügung gestanden haben. Demgegenüber hat der Rechtssuchende zweifellos ein Interesse daran, sein Rechtsbegehren ausführlich darzulegen. Ohne Not soll er nach allgemeinem Rechtsgrundsatz nicht um dessen Beurteilung durch die zuständige Instanz gebracht werden ( BGE 118 Ia 244 Erw. 3c mit Hinweis). Würde der Rechtsmittelweg gegen die Zwischenverfügung nicht eröffnet, so müsste der Beschwerdeführer entweder darauf vertrauen, dass er mit seinem Standpunkt bei Anfechtung des materiellen Entscheides durchdringen und die Sache nochmals an die Vorinstanz zurückgewiesen werde, oder auf die Beurteilung überhaupt verzichten und sich allenfalls mit einer bloss rudimentären Eingabe zur Sache ohne Instruktion durch seinen Klienten begnügen. Zufolge der eingeschränkten Kognition des Eidgenössischen Versicherungsgerichts (Art. 132 in Verbindung mit Art. 104 lit. a und b sowie Art. 105 Abs. 2 OG ) bliebe der Prozessstoff im weiteren Verfahren beschränkt. Dies ist mit Blick auf den im Sozialversicherungsprozess herrschenden Untersuchungsgrundsatz, wonach das Gericht von Amtes wegen für die richtige und vollständige Abklärung des rechtserheblichen Sachverhaltes zu sorgen hat ( BGE 125 V 195 Erw. 2, 122 V 158 Erw. 1a, je mit Hinweisen), zu vermeiden (vgl. auch Ulrich Zimmerli, Zum rechtlichen Gehör im sozialversicherungsrechtlichen Verfahren, in: Sozialversicherungsrecht im Wandel, Festschrift 75 Jahre EVG, Bern 1992, S. 322 f.; Ueli Kieser, Das einfache und rasche Verfahren, insbesondere im Sozialversicherungsrecht, in: SZS 1992 S. 284).</w:t>
      </w:r>
    </w:p>
    <w:p>
      <w:r>
        <w:rPr>
          <w:b/>
        </w:rPr>
        <w:t>E. 1.4</w:t>
      </w:r>
    </w:p>
    <w:p>
      <w:r>
        <w:t>Die Sachurteilsvoraussetzungen sind nach dem Gesagten erfüllt und auf die Beschwerde ist daher einzutreten.</w:t>
      </w:r>
    </w:p>
    <w:p>
      <w:r>
        <w:rPr>
          <w:b/>
        </w:rPr>
        <w:t>E. 2</w:t>
      </w:r>
    </w:p>
    <w:p>
      <w:r>
        <w:t>Soweit der Beschwerdeführer in seiner Verwaltungsgerichtsbeschwerde eine Verletzung des rechtlichen Gehörs wegen Verweigerung der unentgeltlichen Verbeiständung rügt und Rückweisung der Sache zum Entscheid über das entsprechende Gesuch verlangt, ist darauf zufolge Gegenstandslosigkeit nicht einzutreten, da er diesen Antrag vor der Vorinstanz zurückgezogen und sein diesbezügliches Rechtsbegehren im letztinstanzlichen Verfahren modifiziert hat.</w:t>
      </w:r>
    </w:p>
    <w:p>
      <w:r>
        <w:rPr>
          <w:b/>
        </w:rPr>
        <w:t>E. 3</w:t>
      </w:r>
    </w:p>
    <w:p>
      <w:r>
        <w:t>Das kantonale Gericht hat dem Beschwerdeführer drei Mal eine Fristerstreckung bewilligt, das vierte Gesuch jedoch abgewiesen und lediglich eine Notfrist von fünf Tagen gewährt. Auch in diesem Punkt macht der Beschwerdeführer eine Verletzung des rechtlichen Gehörs geltend. Eine solche liegt nicht vor, da die Vorinstanz dem Beschwerdeführer die Möglichkeit zur Erstattung einer Klageantwort nicht verweigert hat. Die Ansetzung einer - relativ kurzen - Notfrist rechtfertigte sich mit Blick auf das Gebot des einfachen und raschen Verfahrens ( Art. 85 Abs. 2 lit. a AHVG ) umso mehr, als der Beschwerdeführer seinen Standpunkt im Einspracheverfahren schon ausführlich hatte äussern können und ihm bereits drei Fristerstreckungen gewährt worden waren. Dass der Rechtsvertreter des Beschwerdeführers überhaupt nicht in der Lage gewesen wäre, diese letzte Frist zu wahren, etwa wegen Abwesenheit seines Klienten, macht er nicht geltend. Im Übrigen wäre es ihm zuzumuten gewesen, die Ausarbeitung der Klageantwort und insbesondere die Abklärung allfälliger Prozessarmut rechtzeitig an die Hand zu nehmen.</w:t>
      </w:r>
    </w:p>
    <w:p>
      <w:r>
        <w:rPr>
          <w:b/>
        </w:rPr>
        <w:t>E. 4</w:t>
      </w:r>
    </w:p>
    <w:p>
      <w:r>
        <w:t>Dem Beschwerdeführer wird indessen die Möglichkeit eingeräumt, die Klageantwort innerhalb einer letzten, nicht erstreckbaren Notfrist noch einzureichen.</w:t>
      </w:r>
    </w:p>
    <w:p>
      <w:r>
        <w:rPr>
          <w:b/>
        </w:rPr>
        <w:t>E. 5</w:t>
      </w:r>
    </w:p>
    <w:p>
      <w:r>
        <w:t>Mit dem Erlass des vorliegenden Urteils wird das Gesuch um aufschiebende Wirkung gegenstandslos.</w:t>
      </w:r>
    </w:p>
    <w:p>
      <w:r>
        <w:rPr>
          <w:b/>
        </w:rPr>
        <w:t>E. 6</w:t>
      </w:r>
    </w:p>
    <w:p>
      <w:r>
        <w:t>Das Verfahren ist kostenpflichtig ( Art. 134 OG e contrario). Dem Prozessausgang entsprechend sind die Kosten dem Beschwerdeführer aufzuerlegen.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