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H_212/1999 vom 24. Januar 2000</w:t>
      </w:r>
    </w:p>
    <w:p>
      <w:r>
        <w:t>Bundesgericht, 2000-01-24, DE</w:t>
      </w:r>
    </w:p>
    <w:p>
      <w:r>
        <w:rPr>
          <w:b/>
        </w:rPr>
        <w:t xml:space="preserve">Quelle: </w:t>
      </w:r>
      <w:r>
        <w:t>https://mcp.opencaselaw.ch/entscheid/bger_H_212_1999</w:t>
      </w:r>
    </w:p>
    <w:p>
      <w:r>
        <w:t>FR: TF H_212/1999 du 24 janvier 2000</w:t>
      </w:r>
    </w:p>
    <w:p>
      <w:r>
        <w:t>IT: TF H_212/1999 del 24 gennaio 2000</w:t>
      </w:r>
    </w:p>
    <w:p>
      <w:pPr>
        <w:pStyle w:val="Heading2"/>
      </w:pPr>
      <w:r>
        <w:t>Erwägungen</w:t>
      </w:r>
    </w:p>
    <w:p>
      <w:r>
        <w:rPr>
          <w:b/>
        </w:rPr>
        <w:t>E. 7</w:t>
      </w:r>
    </w:p>
    <w:p>
      <w:r>
        <w:t>Juni 1999 ab.</w:t>
      </w:r>
    </w:p>
    <w:p>
      <w:r>
        <w:t>C.- Mit Verwaltungsgerichtsbeschwerde lässt B.________</w:t>
      </w:r>
    </w:p>
    <w:p>
      <w:r>
        <w:t>beantragen, in Aufhebung des angefochtenen Entscheids und</w:t>
      </w:r>
    </w:p>
    <w:p>
      <w:r>
        <w:t>der Verwaltungsverfügung vom 21. Februar 1997 sei die Aus-</w:t>
      </w:r>
    </w:p>
    <w:p>
      <w:r>
        <w:t>gleichskasse zu verpflichten, die Altersrente rückwirkend</w:t>
      </w:r>
    </w:p>
    <w:p>
      <w:r>
        <w:t>auf den 1. Januar 1997 unter Anrechnung von Erziehungsgut-</w:t>
      </w:r>
    </w:p>
    <w:p>
      <w:r>
        <w:t>schriften für die Zeit, da sie den Neffen unter ihrer</w:t>
      </w:r>
    </w:p>
    <w:p>
      <w:r>
        <w:t>elterlichen Gewalt und Obhut betreut habe, neu festzuset-</w:t>
      </w:r>
    </w:p>
    <w:p>
      <w:r>
        <w:t>zen.</w:t>
      </w:r>
    </w:p>
    <w:p>
      <w:r>
        <w:t>Während die Ausgleichskasse auf eine Stellungnahme</w:t>
      </w:r>
    </w:p>
    <w:p>
      <w:r>
        <w:t>verzichtet, schliesst das Bundesamt für Sozialversicherung</w:t>
      </w:r>
    </w:p>
    <w:p>
      <w:r>
        <w:t>auf Gutheissung der Verwaltungsgerichtsbeschwerde.</w:t>
      </w:r>
    </w:p>
    <w:p>
      <w:r>
        <w:t>Das Eidg. Versicherungsgericht zieht in Erwägung:</w:t>
      </w:r>
    </w:p>
    <w:p>
      <w:r>
        <w:t>1.- Wie das kantonale Gericht zutreffend dargelegt</w:t>
      </w:r>
    </w:p>
    <w:p>
      <w:r>
        <w:t>hat, kann die Beschwerdeführerin nach den Übergangsbestim-</w:t>
      </w:r>
    </w:p>
    <w:p>
      <w:r>
        <w:t>mungen zu der am 1. Januar 1997 in Kraft getretenen</w:t>
      </w:r>
    </w:p>
    <w:p>
      <w:r>
        <w:rPr>
          <w:b/>
        </w:rPr>
        <w:t>E. 10</w:t>
      </w:r>
    </w:p>
    <w:p>
      <w:r>
        <w:t>AHV-Revision grundsätzlich eine Neufestsetzung der ihr</w:t>
      </w:r>
    </w:p>
    <w:p>
      <w:r>
        <w:t>seit Dezember 1996 zustehenden einfachen Altersrente unter</w:t>
      </w:r>
    </w:p>
    <w:p>
      <w:r>
        <w:t>Anrechnung von Erziehungsgutschriften mit Wirkung ab</w:t>
      </w:r>
    </w:p>
    <w:p>
      <w:r>
        <w:t>1. Januar 1997 beanspruchen (Ziff. 1 lit. g Abs. 1 Satz 2</w:t>
      </w:r>
    </w:p>
    <w:p>
      <w:r>
        <w:t>UebBest AHV 10).</w:t>
      </w:r>
    </w:p>
    <w:p>
      <w:r>
        <w:t>2.- In BGE 125 V 245 hat das Eidgenössische Versiche-</w:t>
      </w:r>
    </w:p>
    <w:p>
      <w:r>
        <w:t>rungsgericht dargelegt, dass der Gesetzgeber den Anspruch</w:t>
      </w:r>
    </w:p>
    <w:p>
      <w:r>
        <w:t>auf Anrechnung von Erziehungsgutschriften nicht auf Pfle-</w:t>
      </w:r>
    </w:p>
    <w:p>
      <w:r>
        <w:t>gekindverhältnisse ausdehnen wollte und der Anspruch grund-</w:t>
      </w:r>
    </w:p>
    <w:p>
      <w:r>
        <w:t>sätzlich davon abhängig ist, dass der Versicherte über</w:t>
      </w:r>
    </w:p>
    <w:p>
      <w:r>
        <w:t>eines oder mehrere Kinder die elterliche Gewalt im Sinne</w:t>
      </w:r>
    </w:p>
    <w:p>
      <w:r>
        <w:t>von Art. 296 ff. ZGB ausgeübt hat. Nach diesen Bestimmungen</w:t>
      </w:r>
    </w:p>
    <w:p>
      <w:r>
        <w:t>haben Pflegeeltern keine elterliche Gewalt, sondern ledig-</w:t>
      </w:r>
    </w:p>
    <w:p>
      <w:r>
        <w:t>lich die Befugnis, die leiblichen Eltern in der elterlichen</w:t>
      </w:r>
    </w:p>
    <w:p>
      <w:r>
        <w:t>Gewalt zu vertreten, soweit es zur gehörigen Erfüllung</w:t>
      </w:r>
    </w:p>
    <w:p>
      <w:r>
        <w:t>ihrer Aufgaben angezeigt ist ( Art. 300 Abs. 1 ZGB ). Eine</w:t>
      </w:r>
    </w:p>
    <w:p>
      <w:r>
        <w:t>Ausnahme von der Voraussetzung der elterlichen Gewalt sieht</w:t>
      </w:r>
    </w:p>
    <w:p>
      <w:r>
        <w:t>das AHVG lediglich insofern vor, als der Bundesrat</w:t>
      </w:r>
    </w:p>
    <w:p>
      <w:r>
        <w:t>Vorschriften über die Anrechnung von Erziehungsgutschriften</w:t>
      </w:r>
    </w:p>
    <w:p>
      <w:r>
        <w:t>u.a. für den Fall erlassen kann, dass Eltern Kinder unter</w:t>
      </w:r>
    </w:p>
    <w:p>
      <w:r>
        <w:t>ihrer Obhut haben, ohne die elterliche Gewalt über sie aus-</w:t>
      </w:r>
    </w:p>
    <w:p>
      <w:r>
        <w:t>zuüben ( Art. 29sexies Abs. 1 lit. a AHVG ). Die vom</w:t>
      </w:r>
    </w:p>
    <w:p>
      <w:r>
        <w:t>Bundesrat gestützt hierauf erlassene Bestimmung von Art.</w:t>
      </w:r>
    </w:p>
    <w:p>
      <w:r>
        <w:t>52e AHVV beschränkt sich darauf, einen Anspruch auf</w:t>
      </w:r>
    </w:p>
    <w:p>
      <w:r>
        <w:t>Anrechnung von Erziehungsgutschriften auch für Jahre</w:t>
      </w:r>
    </w:p>
    <w:p>
      <w:r>
        <w:t>vorzusehen, in denen Eltern Kinder in ihrer Obhut hatten,</w:t>
      </w:r>
    </w:p>
    <w:p>
      <w:r>
        <w:t>ohne dass ihnen die elterliche Gewalt zustand. Geregelt</w:t>
      </w:r>
    </w:p>
    <w:p>
      <w:r>
        <w:t>wird damit der Fall, dass den leiblichen Eltern, Stief-</w:t>
      </w:r>
    </w:p>
    <w:p>
      <w:r>
        <w:t>oder Adoptiveltern die elterliche Gewalt entzogen wurde,</w:t>
      </w:r>
    </w:p>
    <w:p>
      <w:r>
        <w:t>die Kinder jedoch einem Elternteil zur Pflege und Erziehung</w:t>
      </w:r>
    </w:p>
    <w:p>
      <w:r>
        <w:t>überlassen werden ( Art. 311 ff. ZGB ; vgl. hiezu BGE 112 II</w:t>
      </w:r>
    </w:p>
    <w:p>
      <w:r>
        <w:t>21 Erw. 5).</w:t>
      </w:r>
    </w:p>
    <w:p>
      <w:r>
        <w:t>3.- a) Gesetz und Verordnung enthalten keine Bestim-</w:t>
      </w:r>
    </w:p>
    <w:p>
      <w:r>
        <w:t>mung darüber, wie es sich hinsichtlich des Anspruchs auf</w:t>
      </w:r>
    </w:p>
    <w:p>
      <w:r>
        <w:t>Anrechnung von Erziehungsgutschriften verhält, wenn ein</w:t>
      </w:r>
    </w:p>
    <w:p>
      <w:r>
        <w:t>Kind nach Art. 368 Abs. 1 ZGB bevormundet ist und faktisch</w:t>
      </w:r>
    </w:p>
    <w:p>
      <w:r>
        <w:t>unter der Obhut eines Vormundes oder einer Vormundin lebt.</w:t>
      </w:r>
    </w:p>
    <w:p>
      <w:r>
        <w:t>Nach Auffassung der Vorinstanz liegt diesbezüglich eine</w:t>
      </w:r>
    </w:p>
    <w:p>
      <w:r>
        <w:t>Lücke im Gesetz vor. Die Beschwerdeführerin bestreitet das</w:t>
      </w:r>
    </w:p>
    <w:p>
      <w:r>
        <w:t>Vorliegen einer Gesetzeslücke und macht geltend, sie habe</w:t>
      </w:r>
    </w:p>
    <w:p>
      <w:r>
        <w:t>als Vormundin seit dem 10. Mai 1968 im Sinne von Art.</w:t>
      </w:r>
    </w:p>
    <w:p>
      <w:r>
        <w:t>29 sexies AHVG die elterliche Gewalt über das Kind ausgeübt.</w:t>
      </w:r>
    </w:p>
    <w:p>
      <w:r>
        <w:t>Aus dem Gesetz ergäben sich keine Hinweise, dass nur leib-</w:t>
      </w:r>
    </w:p>
    <w:p>
      <w:r>
        <w:t>liche Kinder einen Anspruch auf Erziehungsgutschriften zu</w:t>
      </w:r>
    </w:p>
    <w:p>
      <w:r>
        <w:t>begründen vermöchten.</w:t>
      </w:r>
    </w:p>
    <w:p>
      <w:r>
        <w:t>b) Gemäss Art. 29sexies Abs. 1 AHVG werden den Ver-</w:t>
      </w:r>
    </w:p>
    <w:p>
      <w:r>
        <w:t>sicherten Erziehungsgutschriften für Jahre angerechnet, in</w:t>
      </w:r>
    </w:p>
    <w:p>
      <w:r>
        <w:t>welchen sie die elterliche Gewalt über eines oder mehrere</w:t>
      </w:r>
    </w:p>
    <w:p>
      <w:r>
        <w:t>Kinder ausgeübt haben, die das 16. Altersjahr noch nicht</w:t>
      </w:r>
    </w:p>
    <w:p>
      <w:r>
        <w:t>erreicht haben. Der Begriff der elterlichen Gewalt ist im</w:t>
      </w:r>
    </w:p>
    <w:p>
      <w:r>
        <w:t>Sinne von Art. 296 ff. ZGB zu verstehen. Nach dem Wortlaut</w:t>
      </w:r>
    </w:p>
    <w:p>
      <w:r>
        <w:t>des Gesetzes und den Materialien beruht der Anspruch auf</w:t>
      </w:r>
    </w:p>
    <w:p>
      <w:r>
        <w:t>Anrechnung von Erziehungsgutschriften grundsätzlich auf</w:t>
      </w:r>
    </w:p>
    <w:p>
      <w:r>
        <w:t>einem Kindesverhältnis im Sinne von Art. 252 ff. ZGB . An-</w:t>
      </w:r>
    </w:p>
    <w:p>
      <w:r>
        <w:t>spruchsberechtigt sind daher nicht nur die leiblichen</w:t>
      </w:r>
    </w:p>
    <w:p>
      <w:r>
        <w:t>Eltern, sondern auch Adoptiveltern, nicht dage-</w:t>
      </w:r>
    </w:p>
    <w:p>
      <w:r>
        <w:t>gen die Pflegeeltern ( BGE 125 V 246 Erw. 2a).</w:t>
      </w:r>
    </w:p>
    <w:p>
      <w:r>
        <w:t>Entgegen der von der Beschwerdeführerin vertretenen</w:t>
      </w:r>
    </w:p>
    <w:p>
      <w:r>
        <w:t>Meinung folgt aus dem Wortlaut des Gesetzes nicht, dass ein</w:t>
      </w:r>
    </w:p>
    <w:p>
      <w:r>
        <w:t>Anspruch auf Anrechnung von Erziehungsgutschriften auch</w:t>
      </w:r>
    </w:p>
    <w:p>
      <w:r>
        <w:t>dann besteht, wenn ein Kind in der Obhut (Pflege und Erzie-</w:t>
      </w:r>
    </w:p>
    <w:p>
      <w:r>
        <w:t>hung) eines Vormundes steht. Anderseits schliesst das Ge-</w:t>
      </w:r>
    </w:p>
    <w:p>
      <w:r>
        <w:t>setz einen solchen Anspruch auch nicht aus. Zwar knüpft</w:t>
      </w:r>
    </w:p>
    <w:p>
      <w:r>
        <w:t>Art. 29sexies Abs. 1 AHVG an ein Kindesverhältnis an, setzt</w:t>
      </w:r>
    </w:p>
    <w:p>
      <w:r>
        <w:t>ein solches jedoch nicht ausdrücklich voraus. Massgebendes</w:t>
      </w:r>
    </w:p>
    <w:p>
      <w:r>
        <w:t>Abgrenzungskriterium bildet die elterliche Gewalt. Unter</w:t>
      </w:r>
    </w:p>
    <w:p>
      <w:r>
        <w:t>diesem Gesichtspunkt ist aber nicht von vornherein auszu-</w:t>
      </w:r>
    </w:p>
    <w:p>
      <w:r>
        <w:t>schliessen, dass ein Anspruch auf Erziehungsgutschriften</w:t>
      </w:r>
    </w:p>
    <w:p>
      <w:r>
        <w:t>auch dann gegeben ist, wenn das nach Art. 368 Abs. 1 ZGB</w:t>
      </w:r>
    </w:p>
    <w:p>
      <w:r>
        <w:t>bevormundete Kind in der Obhut eines Vormundes steht, wel-</w:t>
      </w:r>
    </w:p>
    <w:p>
      <w:r>
        <w:t>chem nach Art. 405 Abs. 2 ZGB , unter Vorbehalt der Mitwir-</w:t>
      </w:r>
    </w:p>
    <w:p>
      <w:r>
        <w:t>kung der Vormundschaftsbehörde, die gleichen Rechte zuste-</w:t>
      </w:r>
    </w:p>
    <w:p>
      <w:r>
        <w:t>hen wie den Eltern. Es liegt diesbezüglich auch kein quali-</w:t>
      </w:r>
    </w:p>
    <w:p>
      <w:r>
        <w:t>fiziertes Schweigen des Gesetzgebers vor, wie es für den</w:t>
      </w:r>
    </w:p>
    <w:p>
      <w:r>
        <w:t>Anspruch auf Erziehungsgutschriften bei Pflegeverhältnissen</w:t>
      </w:r>
    </w:p>
    <w:p>
      <w:r>
        <w:t>anzunehmen ist ( BGE 125 V 248 Erw. 3).</w:t>
      </w:r>
    </w:p>
    <w:p>
      <w:r>
        <w:t>4.- a) Nach Auffassung der Vorinstanz lässt es der</w:t>
      </w:r>
    </w:p>
    <w:p>
      <w:r>
        <w:t>klare Wille des Gesetzgebers nicht zu, der Beschwerdeführe-</w:t>
      </w:r>
    </w:p>
    <w:p>
      <w:r>
        <w:t>rin, welche nicht die elterliche Gewalt über ihren Neffen</w:t>
      </w:r>
    </w:p>
    <w:p>
      <w:r>
        <w:t>innegehabt und zudem ein Kostgeld erhalten habe, Erzie-</w:t>
      </w:r>
    </w:p>
    <w:p>
      <w:r>
        <w:t>hungsgutschriften anzurechnen. Das Bundesamt für Sozialver-</w:t>
      </w:r>
    </w:p>
    <w:p>
      <w:r>
        <w:t>sicherung hält dem zu Recht entgegen, dass - im Gegensatz</w:t>
      </w:r>
    </w:p>
    <w:p>
      <w:r>
        <w:t>zu den Pflegeeltern, welche lediglich die Befugnis haben,</w:t>
      </w:r>
    </w:p>
    <w:p>
      <w:r>
        <w:t>die Eltern in der elterlichen Gewalt zu vertreten, soweit</w:t>
      </w:r>
    </w:p>
    <w:p>
      <w:r>
        <w:t>es zur gehörigen Erfüllung ihrer Aufgaben angezeigt ist</w:t>
      </w:r>
    </w:p>
    <w:p>
      <w:r>
        <w:t>( Art. 300 Abs. 1 ZGB ) - dem Vormund bei Unmündigkeit des</w:t>
      </w:r>
    </w:p>
    <w:p>
      <w:r>
        <w:t>Bevormundeten grundsätzlich die gleichen Rechte wie den</w:t>
      </w:r>
    </w:p>
    <w:p>
      <w:r>
        <w:t>Eltern zustehen, unter Vorbehalt der Mitwirkung der vor-</w:t>
      </w:r>
    </w:p>
    <w:p>
      <w:r>
        <w:t>mundschaftlichen Behörden ( Art. 405 Abs. 2 ZGB ). Aus Sinn</w:t>
      </w:r>
    </w:p>
    <w:p>
      <w:r>
        <w:t>und Zweck dieser Bestimmung ergibt sich, dass die Vormund-</w:t>
      </w:r>
    </w:p>
    <w:p>
      <w:r>
        <w:t>schaft die elterliche Gewalt ersetzt und der Vormund (als</w:t>
      </w:r>
    </w:p>
    <w:p>
      <w:r>
        <w:t>Elternersatz) auch für den Aufgabenbereich der Eltern ein-</w:t>
      </w:r>
    </w:p>
    <w:p>
      <w:r>
        <w:t>zustehen hat, soweit dieser nicht unmittelbar von einer</w:t>
      </w:r>
    </w:p>
    <w:p>
      <w:r>
        <w:t>besonderen Beziehungsnähe oder dem rechtlichen Kindesver-</w:t>
      </w:r>
    </w:p>
    <w:p>
      <w:r>
        <w:t>hältnis abhängig ist (Affolter, in: Kommentar zum schweiz.</w:t>
      </w:r>
    </w:p>
    <w:p>
      <w:r>
        <w:t>Privatrecht, N 4 zu Art. 405 ZGB ). Der Vormund hat zwar</w:t>
      </w:r>
    </w:p>
    <w:p>
      <w:r>
        <w:t>nicht die elterliche Gewalt, verfügt jedoch über Befug-</w:t>
      </w:r>
    </w:p>
    <w:p>
      <w:r>
        <w:t>nisse, welche der elterlichen Gewalt gleichkommen. Er übt</w:t>
      </w:r>
    </w:p>
    <w:p>
      <w:r>
        <w:t>diese nicht bloss vertretungsweise, sondern grundsätzlich</w:t>
      </w:r>
    </w:p>
    <w:p>
      <w:r>
        <w:t>selbstständig aus, weil die elterliche Gewalt den leib-</w:t>
      </w:r>
    </w:p>
    <w:p>
      <w:r>
        <w:t>lichen Eltern entzogen worden ist oder aus anderen Gründen</w:t>
      </w:r>
    </w:p>
    <w:p>
      <w:r>
        <w:t>(insbesondere wegen des Todes) nicht mehr ausgeübt werden</w:t>
      </w:r>
    </w:p>
    <w:p>
      <w:r>
        <w:t>kann. Lebt das Kind - wie im vorliegenden Fall - auch</w:t>
      </w:r>
    </w:p>
    <w:p>
      <w:r>
        <w:t>faktisch in der Obhut des Vormundes, so verhält es sich</w:t>
      </w:r>
    </w:p>
    <w:p>
      <w:r>
        <w:t>nicht wesentlich anders, als wenn das Kind unter der</w:t>
      </w:r>
    </w:p>
    <w:p>
      <w:r>
        <w:t>elterlichen Gewalt der leiblichen Eltern oder eines</w:t>
      </w:r>
    </w:p>
    <w:p>
      <w:r>
        <w:t>Elternteils als alleinigen Inhabers der elterlichen Gewalt</w:t>
      </w:r>
    </w:p>
    <w:p>
      <w:r>
        <w:t>steht. Anderseits besteht gegenüber einem einfachen</w:t>
      </w:r>
    </w:p>
    <w:p>
      <w:r>
        <w:t>Pflegekindverhältnis insofern ein wesentlicher Unterschied,</w:t>
      </w:r>
    </w:p>
    <w:p>
      <w:r>
        <w:t>als der Vormund die Rechte und Pflichten des Kindes</w:t>
      </w:r>
    </w:p>
    <w:p>
      <w:r>
        <w:t>grundsätzlich selbstständig und nicht wie die Pflegeeltern</w:t>
      </w:r>
    </w:p>
    <w:p>
      <w:r>
        <w:t>neben dem Inhaber oder den Inhabern der elterlichen Gewalt</w:t>
      </w:r>
    </w:p>
    <w:p>
      <w:r>
        <w:t>(oder einem Vormund) wahrnimmt. Damit entfällt auch die</w:t>
      </w:r>
    </w:p>
    <w:p>
      <w:r>
        <w:t>Gefahr eines doppelten Anspruchs auf Erziehungsgutschrif-</w:t>
      </w:r>
    </w:p>
    <w:p>
      <w:r>
        <w:t>ten, wie sie der Gesetzgeber mit dem Ausschluss der</w:t>
      </w:r>
    </w:p>
    <w:p>
      <w:r>
        <w:t>Pflegekindverhältnisse von der Anspruchsberechtigung</w:t>
      </w:r>
    </w:p>
    <w:p>
      <w:r>
        <w:t>verhindern wollte (Amtl. Bull. 1994 S 550). Insgesamt</w:t>
      </w:r>
    </w:p>
    <w:p>
      <w:r>
        <w:t>rechtfertigt es sich daher, den Vormund, welcher ein</w:t>
      </w:r>
    </w:p>
    <w:p>
      <w:r>
        <w:t>unmündiges Kind in seiner persönlichen Obhut hat, dem</w:t>
      </w:r>
    </w:p>
    <w:p>
      <w:r>
        <w:t>Inhaber der elterlichen Gewalt im Sinne von Art. 29sexies</w:t>
      </w:r>
    </w:p>
    <w:p>
      <w:r>
        <w:t>Abs. 1 AHVG gleichzustellen. Dementsprechend ist sein An-</w:t>
      </w:r>
    </w:p>
    <w:p>
      <w:r>
        <w:t>spruch auf Erziehungsgutschriften zu bejahen, so lange das</w:t>
      </w:r>
    </w:p>
    <w:p>
      <w:r>
        <w:t>nach Art. 368 Abs. 1 ZGB bevormundete Kind in seiner Obhut</w:t>
      </w:r>
    </w:p>
    <w:p>
      <w:r>
        <w:t>gelebt hat.</w:t>
      </w:r>
    </w:p>
    <w:p>
      <w:r>
        <w:t>b) Nach dem Gesagten hat die Beschwerdeführerin für</w:t>
      </w:r>
    </w:p>
    <w:p>
      <w:r>
        <w:t>die Jahre ab 1969 ( Art. 52f AHVV ) Anspruch auf Erziehungs-</w:t>
      </w:r>
    </w:p>
    <w:p>
      <w:r>
        <w:t>gutschriften nach Art. 29sexies AHVG . Hieran ändert nichts,</w:t>
      </w:r>
    </w:p>
    <w:p>
      <w:r>
        <w:t>dass die Beschwerdeführerin vom leiblichen Vater des Kindes</w:t>
      </w:r>
    </w:p>
    <w:p>
      <w:r>
        <w:t>vorübergehend ein Kostgeld bezogen hat. So werden auch bei</w:t>
      </w:r>
    </w:p>
    <w:p>
      <w:r>
        <w:t>geschiedenen Frauen Erziehungsgutschriften unabhängig davon</w:t>
      </w:r>
    </w:p>
    <w:p>
      <w:r>
        <w:t>angerechnet, ob und gegebenenfalls inwieweit der geschie-</w:t>
      </w:r>
    </w:p>
    <w:p>
      <w:r>
        <w:t>dene Mann zu Unterhaltsbeiträgen verpflichtet war.</w:t>
      </w:r>
    </w:p>
    <w:p>
      <w:r>
        <w:t>Demnach erkennt das Eidg. Versicherungsgericht:</w:t>
      </w:r>
    </w:p>
    <w:p>
      <w:r>
        <w:t>I. In Gutheissung der Verwaltungsgerichtsbeschwerde wer-</w:t>
      </w:r>
    </w:p>
    <w:p>
      <w:r>
        <w:t>den der Entscheid des Sozialversicherungsgerichts des</w:t>
      </w:r>
    </w:p>
    <w:p>
      <w:r>
        <w:t>Kantons Zürich vom 7. Juni 1999 und die Verfügung der</w:t>
      </w:r>
    </w:p>
    <w:p>
      <w:r>
        <w:t>Ausgleichskasse Promea vom 21. Februar 1997 aufgeho-</w:t>
      </w:r>
    </w:p>
    <w:p>
      <w:r>
        <w:t>ben, und es wird die Sache an die Verwaltung zurück-</w:t>
      </w:r>
    </w:p>
    <w:p>
      <w:r>
        <w:t>gewiesen, damit sie die der Beschwerdeführerin ab</w:t>
      </w:r>
    </w:p>
    <w:p>
      <w:r>
        <w:t>1. Januar 1997 zustehende einfache Altersrente unter</w:t>
      </w:r>
    </w:p>
    <w:p>
      <w:r>
        <w:t>Berücksichtigung der ihr ab 1969 gebührenden Erzie-</w:t>
      </w:r>
    </w:p>
    <w:p>
      <w:r>
        <w:t>hungsgutschriften neu festsetze.</w:t>
      </w:r>
    </w:p>
    <w:p>
      <w:r>
        <w:t>II. Es werden keine Gerichtskosten erhoben.</w:t>
      </w:r>
    </w:p>
    <w:p>
      <w:r>
        <w:t>III. Die Ausgleichskasse Promea hat der Beschwerdeführerin</w:t>
      </w:r>
    </w:p>
    <w:p>
      <w:r>
        <w:t>für das Verfahren vor dem Eidgenössischen Versiche-</w:t>
      </w:r>
    </w:p>
    <w:p>
      <w:r>
        <w:t>rungsgericht eine Parteientschädigung von Fr. 1500.-</w:t>
      </w:r>
    </w:p>
    <w:p>
      <w:r>
        <w:t>(einschliesslich Mehrwertsteuer) zu bezahlen.</w:t>
      </w:r>
    </w:p>
    <w:p>
      <w:r>
        <w:t>IV. Dieses Urteil wird den Parteien, dem Sozialversiche-</w:t>
      </w:r>
    </w:p>
    <w:p>
      <w:r>
        <w:t>rungsgericht des Kantons Zürich und dem Bundesamt für</w:t>
      </w:r>
    </w:p>
    <w:p>
      <w:r>
        <w:t>Sozialversicherung zugestellt.</w:t>
      </w:r>
    </w:p>
    <w:p>
      <w:r>
        <w:t>Luzern, 24. Januar 2000</w:t>
      </w:r>
    </w:p>
    <w:p>
      <w:r>
        <w:t>Im Namen des</w:t>
      </w:r>
    </w:p>
    <w:p>
      <w:r>
        <w:t>Eidgenössischen Versicherungsgerichts</w:t>
      </w:r>
    </w:p>
    <w:p>
      <w:r>
        <w:t>Der Präsident der I. Kammer:</w:t>
      </w:r>
    </w:p>
    <w:p>
      <w:r>
        <w:t>Die Gerichtsschreiberin: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