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H_207/2006 vom 19. Juli 2007</w:t>
      </w:r>
    </w:p>
    <w:p>
      <w:r>
        <w:t>Bundesgericht, 2007-07-19, DE</w:t>
      </w:r>
    </w:p>
    <w:p>
      <w:r>
        <w:rPr>
          <w:b/>
        </w:rPr>
        <w:t xml:space="preserve">Quelle: </w:t>
      </w:r>
      <w:r>
        <w:t>https://mcp.opencaselaw.ch/entscheid/bger_H_207_2006</w:t>
      </w:r>
    </w:p>
    <w:p>
      <w:r>
        <w:t>FR: TF H_207/2006 du 19 juillet 2007</w:t>
      </w:r>
    </w:p>
    <w:p>
      <w:r>
        <w:t>IT: TF H_207/2006 del 19 luglio 2007</w:t>
      </w:r>
    </w:p>
    <w:p>
      <w:pPr>
        <w:pStyle w:val="Heading2"/>
      </w:pPr>
      <w:r>
        <w:t>Erwägungen</w:t>
      </w:r>
    </w:p>
    <w:p>
      <w:r>
        <w:rPr>
          <w:b/>
        </w:rPr>
        <w:t>E. 1</w:t>
      </w:r>
    </w:p>
    <w:p>
      <w:r>
        <w:t>Der kantonale Entscheid ist vor dem 1. Januar 2007 ergangen, weshalb das Bundesgesetz über das Bundesgericht (BGG) vom 17. Juni 2005 noch nicht anwendbar ist ( Art. 132 Abs. 1 BGG ). Die Kognition richtet sich noch nach Art. 132 OG . Da es sich bei der angefochtenen Verfügung nicht um die Bewilligung oder Verweigerung von Versicherungsleistungen handelt, hat das Bundesgericht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 BGE 131 V 425 E. 1 S. 426 mit Hinweis).</w:t>
      </w:r>
    </w:p>
    <w:p>
      <w:r>
        <w:rPr>
          <w:b/>
        </w:rPr>
        <w:t>E. 3</w:t>
      </w:r>
    </w:p>
    <w:p>
      <w:r>
        <w:t>In rechtlicher Hinsicht hat die Vorinstanz die zu den einzelnen Haftungsvoraussetzungen nach Art. 52 AHVG (Schaden, Widerrechtlichkeit, Kausalität, qualifiziertes Verschulden, Verwirkung) ergangene Rechtsprechung, soweit für die Beurteilung der Sache im vorliegenden Fall von Belang, zutreffend dargelegt. Darauf kann verwiesen werden.</w:t>
      </w:r>
    </w:p>
    <w:p>
      <w:r>
        <w:rPr>
          <w:b/>
        </w:rPr>
        <w:t>E. 4.1</w:t>
      </w:r>
    </w:p>
    <w:p>
      <w:r>
        <w:t>Der Beschwerdeführer bestreitet sinngemäss, dass ihm eine qualifiziert schuldhafte Missachtung der Vorschriften über die Beitragsbezahlung ( Art. 14 Abs. 1 AHVG ; Art. 34 AHVV ) vorgeworfen werden könne, da nach durchgeführtem Management-Buy-Out (Aktienkauf) E.________ als Geschäftsführer und "Finanzchef" der Firma X.________ fungiert habe. Der Beschwerdeführer selbst sei mit der Restrukturierung der Gesellschaft und der Leitung des Verkaufs betraut gewesen. Für die Zahlung der Sozialversicherungsbeiträge sei allein E.________ verantwortlich gewesen. Trotz dieser Aufgabenteilung habe sich der Beschwerdeführer periodisch bei E.________ erkundigt, ob die Sozialversicherungsbeiträge effektiv bezahlt worden seien. Dabei sei er von E.________ hinters Licht geführt und getäuscht worden, weshalb er gar keine Kenntnis von den tatsächlichen Ausständen, Mahnungen und Betreibungen gehabt habe. Anhaltspunkte für das Vorliegen von Unregelmässigkeiten habe es nicht gegeben. Dass er auf die mündlichen Auskünfte von E.________ vertraut habe, dürfe ihm nicht als Verschulden angelastet werden, da die Zusammenarbeit mit E.________ zur Rettung der Firma X.________ auf gegenseitigem Vertrauen beruht habe.</w:t>
      </w:r>
    </w:p>
    <w:p>
      <w:r>
        <w:rPr>
          <w:b/>
        </w:rPr>
        <w:t>E. 4.2.1</w:t>
      </w:r>
    </w:p>
    <w:p>
      <w:r>
        <w:t>Aufgrund des Kontoauszuges vom 9. September 2004 steht fest, dass die Firma X.________ der Ausgleichskasse letztmals am 9. April 2001 Zahlungen von Fr. 35'394.35 und Fr. 53'423.20 für ausstehende Sozialversicherungsbeiträge leistete. Nach diesem Datum blieb die Firma bis zur Konkurseröffnung am 30. Oktober 2001 sämtliche jeweils Mitte des Folgemonates in Rechnung gestellten und ab dem 23. Juli/17. August 2001 monatlich gemahnten und betriebenen Sozialversicherungsbeiträge schuldig. Der dadurch entstandene Beitragsausstand von Fr. 154'047.80 fällt vollumfänglich in die Zeit, in der der Beschwerdeführer als Verwaltungsrat die Verantwortung für die gesetzliche Beitragspflicht trug. Er bestreitet zu Recht nicht, dass ihm als subsidiär haftendem Organ der in Konkurs gefallenen Firma deren gesetzwidriges Verhalten anzurechnen ist.</w:t>
      </w:r>
    </w:p>
    <w:p>
      <w:r>
        <w:rPr>
          <w:b/>
        </w:rPr>
        <w:t>E. 4.2.2</w:t>
      </w:r>
    </w:p>
    <w:p>
      <w:r>
        <w:t>Soweit der Beschwerdeführer sich auf das Drittverschulden von E.________ als Entlastungsgrund beruft, ist festzuhalten, dass mehrere Organe für den der Ausgleichskasse entstandenen Schaden solidarisch haften. Als Solidarschuldner hat jedes einzelne Organ für den ganzen Schaden einzustehen, und die Ausgleichskasse braucht sich um die internen Beziehungen zwischen ihnen nicht zu kümmern ( BGE 119 V 86 E. 5a S. 87; AHI 1996 S. 293 E. 6). Das Verhalten eines von mehreren haftpflichtigen Organen vermag daher ein anderes Organ gegenüber der Ausgleichskasse nur zu entlasten, wenn es den ursächlichen Zusammenhang zwischen dem Verhalten des andern als inadäquat erscheinen lässt, oder wenn und soweit es das Verschulden des andern mildert ( BGE 112 II 138 E. 4a S. 143, 98 II 102 E. 4 S. 104, 97 II 339 E. 3 S. 344). Eine Haftungsbeschränkung wegen mitwirkenden Drittverschuldens eines solidarisch Haftpflichtigen zieht das Bundesgericht aber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 BGE 112 II 138 E. 4a S. 144). Eine solche Sachlage ist im vorliegenden Fall aus den nachstehend dargelegten Gründen nicht gegeben.</w:t>
      </w:r>
    </w:p>
    <w:p>
      <w:r>
        <w:rPr>
          <w:b/>
        </w:rPr>
        <w:t>E. 4.2.3</w:t>
      </w:r>
    </w:p>
    <w:p>
      <w:r>
        <w:t>Der Beschwerdeführer war in der fraglichen Zeit ab Mai 2001, während der die Firma X.________ überhaupt keine Sozialversicherungsbeiträge mehr bezahlt hat, neben E.________ einziges Verwaltungsratsmitglied und ab 18. Juni 2001 Delegierter des Verwaltungsrates mit Kollektivzeichnungsberechtigung. Selbst wenn er entgegen dieser im Handelsregister mit positiver Publizitätswirkung ( Art. 933 Abs. 1 OR ) eingetragenen Funktion als Geschäftsführer faktisch und in Missachtung der in Art. 716b Abs. 1 und 2 OR statuierten Delegationsvoraussetzungen die Geschäftsführung vollständig E.________ überlassen hat, oblagen ihm weiterhin die allgemeine Sorgfaltspflicht nach Art. 717 Abs. 1 OR und die Aufsichts- und Kontrollpflichten gemäss Art. 716a Abs. 1 Ziff. 5 OR , an welche angesichts der relativ einfachen Organisationsstruktur der Firma X.________ praxisgemäss hohe Anforderungen zu stellen sind ( BGE 108 V 199 E. 3b S. 203). Diesen Anforderungen hat der Beschwerdeführer nicht genügt, wenn er sich periodisch bei E.________ mündlich erkundigt hat, ob die Sozialversicherungsbeiträge bezahlt worden sind und sich mit einer ebenfalls mündlichen Bejahung seiner Nachfragen zufrieden gegeben hat. An der Verwaltungsratssitzung vom 2. April 2001 war die Bezahlung der Sozialversicherungsbeiträge ausdrücklich thematisiert worden (Protokoll vom 2. April 2001 S. 3), worauf der damalige Verwaltungsrat P.________ eine Zusammenstellung aller ausstehenden Sozialversicherungsbeiträge und -prämien verlangte sowie am 9. April 2001 deren Zahlung veranlasste. Dem Beschwerdeführer war damit die vorrangige haftungsrechtliche Bedeutung, welche die Organe einer Aktiengesellschaft der sozialversicherungsrechtlichen Beitragszahlungspflicht bei der Bewältigung einer Krisensituation beizumessen haben, exemplarisch vor Augen geführt worden. Umso weniger durfte er, nachdem er und E.________ alle Aktien der Gesellschaft gekauft hatten und für deren Geschicke allein verantwortlich waren, darauf verzichten, E.________ förmlich und nötigenfalls unter Androhung seiner Demission als Verwaltungsrat zur Einhaltung der Verbindlichkeiten gegenüber der Ausgleichskasse anzuhalten. Auch der Umstand, dass sich ein Management-Buy-Out ohne gegenseitiges Vertrauen der neuen Exekutivorgane einer Gesellschaft nicht bewerkstelligen lässt, vermag den Beschwerdeführer nicht zu entlasten. Denn auch bei der verwaltungsratsinternen Delegation von Geschäftsführungsaufgaben kann das Vertrauen in die Einhaltung der gesetzlichen Vorschriften auf Seiten eines Mitverwaltungsrates eine Lockerung von effektiven gegenseitigen Kontrollen erst rechtfertigen, wenn sich der geschäftsführende Verwaltungsrat über lange Zeit durch eine tadellose Haltung und ausgewiesene Fachkompetenz bewährt hat. Das war bei E.________, der im Frühjahr 2001 neu zur Firma X.________ gestossen war und das Management-Buy-Out initiierte, bei weitem nicht der Fall. Indem der Beschwerdeführer von Mai bis Oktober 2001 überhaupt nichts Förmliches und Konkretes vorgekehrt hat, was die Entstehung und Anhäufung der monatlichen Beitragsschulden hätte verhindern können, hat er den eingetretenen Schaden schuldhaft mitverursacht. Wenn das kantonale Gericht sein Verhalten auch als grobfahrlässig qualifiziert hat, so beruht dies weder auf einer mangelhaften Feststellung des Sachverhaltes noch verstösst dies gegen Bundesrecht. Zu weiteren Abklärungen, einschliesslich der beantragten Einvernahmen der ehemaligen Mitarbeiter der Firma X.________ A.________ und D.________ als Zeugen, besteht kein Anlass, weil davon keine neuen entscheidwesentlichen Erkenntnisse zu erwarten wären (antizipierte Beweiswürdigung; BGE 124 V 90 E. 4b S. 94, 122 V 157 E. 1d S. 162,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