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H_192/2004 vom 6. Juni 2005</w:t>
      </w:r>
    </w:p>
    <w:p>
      <w:r>
        <w:t>Bundesgericht, 2005-06-06, FR</w:t>
      </w:r>
    </w:p>
    <w:p>
      <w:r>
        <w:rPr>
          <w:b/>
        </w:rPr>
        <w:t xml:space="preserve">Quelle: </w:t>
      </w:r>
      <w:r>
        <w:t>https://mcp.opencaselaw.ch/entscheid/bger_H_192_2004</w:t>
      </w:r>
    </w:p>
    <w:p>
      <w:r>
        <w:t>FR: TF H_192/2004 du 6 juin 2005</w:t>
      </w:r>
    </w:p>
    <w:p>
      <w:r>
        <w:t>IT: TF H_192/2004 del 6 giugno 2005</w:t>
      </w:r>
    </w:p>
    <w:p>
      <w:pPr>
        <w:pStyle w:val="Heading2"/>
      </w:pPr>
      <w:r>
        <w:t>Erwägungen</w:t>
      </w:r>
    </w:p>
    <w:p>
      <w:r>
        <w:rPr>
          <w:b/>
        </w:rPr>
        <w:t>E. 1.1</w:t>
      </w:r>
    </w:p>
    <w:p>
      <w:r>
        <w:t>Le litige porte sur la compensation d'arriérés de cotisations personnelles avec les rentes de veuve et d'orphelin qui ont été allouées aux recourants pour la période courant du 1er janvier 1999 au mois de février 2002.</w:t>
      </w:r>
    </w:p>
    <w:p>
      <w:r>
        <w:rPr>
          <w:b/>
        </w:rPr>
        <w:t>E. 1.2</w:t>
      </w:r>
    </w:p>
    <w:p>
      <w:r>
        <w:t>Comme en procédure cantonale, les recourants font valoir qu'ils ont répudié la succession, qu'ils n'ont pas hérité du défunt et que la créance de l'intimée n'a jamais été inscrite à l'inventaire. Dès lors, celle-ci ne pourrait opposer sa créance de cotisations aux rentes de survivants qu'elle leur doit et exercer la compensation.</w:t>
      </w:r>
    </w:p>
    <w:p>
      <w:r>
        <w:rPr>
          <w:b/>
        </w:rPr>
        <w:t>E. 2</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3.1</w:t>
      </w:r>
    </w:p>
    <w:p>
      <w:r>
        <w:t>Sur le fond, le jugement entrepris expose de manière exacte et complète les dispositions légales et la jurisprudence applicables en l'espèce, de sorte qu'il suffit d'y renvoyer.</w:t>
      </w:r>
    </w:p>
    <w:p>
      <w:r>
        <w:rPr>
          <w:b/>
        </w:rPr>
        <w:t>E. 3.2</w:t>
      </w:r>
    </w:p>
    <w:p>
      <w:r>
        <w:t>Il convient d'ajouter qu'en matière d'assurances sociales, à défaut d'une réglementation particulière ( ATF 115 V 342 sv. consid. 2b), le principe de la compensation des créances de droit public est admis comme règle générale ( ATF 128 V 228 consid. 3b et les références citées, 111 Ib 158 consid. 3; Rüedi, Allgemeine Rechtsgrundsätze des Sozialversicherungsprozesses, in : Walter R. Schluep et al. [éd.], Recht, Staat und Politik am Ende des zweiten Jahrtausends, Festschrift zum 60. Geburtstag von Bundesrat Arnold Koller, Berne 1993, p. 454 et note n° 16). Dans ce cas, les dispositions du code des obligations qui en fixent les conditions ( art. 120 ss CO ) sont applicables par analogie ( ATF 128 V 228 consid. 2b; VSI 1994 p. 217 consid. 3).</w:t>
      </w:r>
    </w:p>
    <w:p>
      <w:r>
        <w:t>Bien que la LPGA ne soit en l'espèce pas applicable ratione temporis ( ATF 130 V 447 consid. 1.2.1, 129 V 4 consid. 1.2 et les arrêts cités), cette situation n'a pas été modifiée par son entrée en vigueur le 1er janvier 2003. La compensation reste réglée par les lois spéciales ou les principes généraux, sous réserve de l' art. 20 al. 2 LPGA , qui n'est pas en discussion ici (cf. Ueli Kieser, ATSG-Kommentar, Kommentar zum Bundesgesetz über den Allgemeinen Teil des Sozialversicherungsrechts vom 6. Oktober 2000, Zurich 2003, Remarques préliminaires, note 22; cf. ATF 125 V 323 consid. 5b/bb).</w:t>
      </w:r>
    </w:p>
    <w:p>
      <w:r>
        <w:rPr>
          <w:b/>
        </w:rPr>
        <w:t>E. 3.3</w:t>
      </w:r>
    </w:p>
    <w:p>
      <w:r>
        <w:t>Selon l' art. 20 al. 2 let. a LAVS , peuvent être compensées avec des prestations échues, notamment, les créances découlant de la présente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 ATF 115 V 341 consid. 2a et les arrêts cités).</w:t>
      </w:r>
    </w:p>
    <w:p>
      <w:r>
        <w:t>L' art. 20 al. 2 LAVS a créé, en matière de compensation, un régime bien adapté aux particularités des assurances sociales et notamment de l'AVS ( ATF 115 V 341 consid. 2b). La possibilité de compenser des cotisations avec des prestations selon cet article s'écarte des dispositions du code des obligations. Ainsi, il a toujours été admis que l' art. 20 LAVS dérogeait dans une certaine mesure à la règle de la réciprocité des sujets de droits posées par l' art. 120 al. 1 CO et ne tenait pas compte des circonstances touchant au droit successoral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Eidgenössische Versicherungsgericht, in : Mélanges pour le 75ème anniversaire du Tribunal fédéral des assurances, Berne 1992, p. 161, note de bas de page 95; Ueli Kieser, Bundesgesetz über die Alters- und Hinterlassenenversicherung, Zurich 2005, p. 153 sv. ad art. 20). La possibilité de compenser s'écarte de l' art. 120 al. 1 CO et des circonstances du droit successoral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510 consid. 2.4, 115 V 343 consid. 2b, 111 V 2 consid. 3a, 104 V 7 consid. 3b).</w:t>
      </w:r>
    </w:p>
    <w:p>
      <w:r>
        <w:t>Une relation étroite de cette nature existe, par exemple, entre les cotisations personnelles dues par le père décédé et la rente d'orphelin de père (ATFA 1956 p. 190 consid. 1, 1961 p. 29 sv.). La faculté d'opérer la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 En revanche, les créances de cotisations qui n'ont pas été portées à l'inventaire officiel de manière fautive, ne sont plus compensables ( ATF 111 V 3 ).</w:t>
      </w:r>
    </w:p>
    <w:p>
      <w:r>
        <w:rPr>
          <w:b/>
        </w:rPr>
        <w:t>E. 4</w:t>
      </w:r>
    </w:p>
    <w:p>
      <w:r>
        <w:t>Les rentes de survivants, rente de veuve ( art. 23 LAVS ) et rente d'orphelin ( art. 25 LAVS ), sont calculées sur la base de la durée de cotisations et du revenu annuel moyen de la personne décédée, composé du revenu non partagé et des bonifications pour tâches éducatives ou d'assistance de la personne décédée ( art. 33 LAVS ). Sur ce point, les différentes modifications législatives apportées au calcul des rentes, particulièrement lors de la 10ème révision de l'AVS, n'ont rien changé. On doit dès lors reconnaître que les rentes versées par l'intimée aux recourants et les dettes du défunt envers elle se trouvent dans un rapport éminemment étroit. Aucun élément ne permet de s'écarter de la jurisprudence consacrée permettant la compensation, sous l'angle de la technique d'assurance ou du point de vue juridique.</w:t>
      </w:r>
    </w:p>
    <w:p>
      <w:r>
        <w:t>La répudiation pure et simple de la succession du défunt par les héritiers ainsi que le retrait de la demande de bénéfice d'inventaire a empêché l'inscription de la créance de l'intimée à l'inventaire de la succession. Toutefois, la créance a été produite en temps utile dans cette procédure et continuera à être traitée dans le cadre de la faillite de la succession ( art. 573 al. 1 CC ; Gilliéron, Poursuite pour dettes, faillite et concordat, 2ème éd., p. 268). La créance n'a dès lors pas disparu et aucune faute ne peut être reprochée à l'intimée.</w:t>
      </w:r>
    </w:p>
    <w:p>
      <w:r>
        <w:rPr>
          <w:b/>
        </w:rPr>
        <w:t>E. 5</w:t>
      </w:r>
    </w:p>
    <w:p>
      <w:r>
        <w:t>Sur le vu de ce qui précède, le jugement entrepris n'est dès lors pas critiquable et le recours se révèle mal fondé.</w:t>
      </w:r>
    </w:p>
    <w:p>
      <w:r>
        <w:rPr>
          <w:b/>
        </w:rPr>
        <w:t>E. 6</w:t>
      </w:r>
    </w:p>
    <w:p>
      <w:r>
        <w:t>La procédure n'est pas gratuite, étant donné que le litige ne porte pas sur l'octroi ou le refus de prestations d'assurance ( art. 134 OJ a contrario). Les recourants qui succombent, supporteront par conséquent les frais de la cause ( art. 156 al. 1 OJ en liaison avec l' art. 135 OJ ) et ne sauraient prétendre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