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H_183/2005 vom 13. März 2006</w:t>
      </w:r>
    </w:p>
    <w:p>
      <w:r>
        <w:t>Bundesgericht, 2006-03-13, DE</w:t>
      </w:r>
    </w:p>
    <w:p>
      <w:r>
        <w:rPr>
          <w:b/>
        </w:rPr>
        <w:t xml:space="preserve">Quelle: </w:t>
      </w:r>
      <w:r>
        <w:t>https://mcp.opencaselaw.ch/entscheid/bger_H_183_2005</w:t>
      </w:r>
    </w:p>
    <w:p>
      <w:r>
        <w:t>FR: TF H_183/2005 du 13 mars 2006</w:t>
      </w:r>
    </w:p>
    <w:p>
      <w:r>
        <w:t>IT: TF H_183/2005 del 13 marzo 2006</w:t>
      </w:r>
    </w:p>
    <w:p>
      <w:pPr>
        <w:pStyle w:val="Heading2"/>
      </w:pPr>
      <w:r>
        <w:t>Erwägungen</w:t>
      </w:r>
    </w:p>
    <w:p>
      <w:r>
        <w:rPr>
          <w:b/>
        </w:rPr>
        <w:t>E. 1</w:t>
      </w:r>
    </w:p>
    <w:p>
      <w:r>
        <w:t>Der vorinstanzliche Entscheid vom 15. November 2005, mit welchem die Eidgenössische Rekurskommission zwecks Sicherstellung der mutmasslichen Gerichtskosten einen Kostenvorschuss verlangt hat, verbunden mit der Androhung, im Unterlassungsfall auf das erhobene Rechtsmittel nicht einzutreten, gehört zu den Zwischenverfügungen, welche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128 V 201 ff. Erw. 2 mit Hinweisen).</w:t>
      </w:r>
    </w:p>
    <w:p>
      <w:r>
        <w:rPr>
          <w:b/>
        </w:rPr>
        <w:t>E. 2</w:t>
      </w:r>
    </w:p>
    <w:p>
      <w:r>
        <w:t>Zu prüfen ist einzig, ob die Vorinstanz die weitere Behandlung der gegen den Einspracheentscheid der Schweizerischen Ausgleichskasse vom 2. Juni 2005 eingereichten Beschwerde von der vorgängigen Bezahlung des verlangten Kostenvorschusses abhängig machen durfte.</w:t>
      </w:r>
    </w:p>
    <w:p>
      <w:r>
        <w:rPr>
          <w:b/>
        </w:rPr>
        <w:t>E. 3</w:t>
      </w:r>
    </w:p>
    <w:p>
      <w:r>
        <w:t>Die Beschwerdeführerin geht davon aus, die Eidgenössische Rekurskommission verlange von ihr einen Kostenvorschuss, weil ihre Beschwerde mutwillig erhoben worden sei. Das trifft indessen nicht zu. Die Vorinstanz hat vielmehr unter Hinweis auf die massgebenden rechtlichen Grundlagen (vgl. Erw. 1 der angefochtenen Zwischenverfügung vom 15. November 2005) zutreffend dargelegt, dass lediglich Streitigkeiten über die Bewilligung oder Verweigerung von Versicherungsleistungen (wie Renten oder Abfindungen) kostenfrei sind, es sei denn, es handle sich um mutwillige oder leichtfertige Beschwerden; demgegenüber sind alle übrigen Beschwerdeverfahren, in denen es - wie vorliegend - nicht um Versicherungsleistungen, sondern z.B. um Beiträge oder die Versicherungszugehörigkeit geht, generell kostenpflichtig (vgl. zum Ganzen BGE 128 V 199 ff. mit Hinweisen). Die Eidgenössische Rekurskommission durfte daher die materielle Behandlung der gegen den von der Schweizerischen Ausgleichskasse verfügten Versicherungsausschluss (Einspracheentscheid vom 2. Juni 2005) erhobenen Beschwerde von der vorgängigen Bezahlung eines Kostenvorschusses abhängig machen. In der Verwaltungsgerichtsbeschwerde wird nichts vorgebracht, was zu einer anderen Beurteilung führen könnte, weshalb die Verwaltungsgerichtsbeschwerde im Verfahren nach Art. 36a OG zu erledigen ist.</w:t>
      </w:r>
    </w:p>
    <w:p>
      <w:r>
        <w:rPr>
          <w:b/>
        </w:rPr>
        <w:t>E. 4</w:t>
      </w:r>
    </w:p>
    <w:p>
      <w:r>
        <w:t>Der Beschwerdeführerin muss indessen die Möglichkeit eingeräumt werden, den von der Vorinstanz verlangten Kostenvorschuss noch zu leisten. Die ihr zu gewährende neue Frist ist von der Eidgenössischen Rekurskommission, welcher die weitere Verfahrensleitung obliegt, anzusetzen ( BGE 128 V 216 Erw. 9).</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