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163/01 vom 25. September 2001</w:t>
      </w:r>
    </w:p>
    <w:p>
      <w:r>
        <w:t>Bundesgericht, 2001-09-25, IT</w:t>
      </w:r>
    </w:p>
    <w:p>
      <w:r>
        <w:rPr>
          <w:b/>
        </w:rPr>
        <w:t xml:space="preserve">Quelle: </w:t>
      </w:r>
      <w:r>
        <w:t>https://mcp.opencaselaw.ch/entscheid/bger_H_163_01</w:t>
      </w:r>
    </w:p>
    <w:p>
      <w:r>
        <w:t>FR: TF H 163/01 du 25 septembre 2001</w:t>
      </w:r>
    </w:p>
    <w:p>
      <w:r>
        <w:t>IT: TF H 163/01 del 25 settembre 2001</w:t>
      </w:r>
    </w:p>
    <w:p>
      <w:pPr>
        <w:pStyle w:val="Heading2"/>
      </w:pPr>
      <w:r>
        <w:t>Regeste</w:t>
      </w:r>
    </w:p>
    <w:p>
      <w:r>
        <w:t>Assicurazione per la vecchiaia e per i superstiti</w:t>
      </w:r>
    </w:p>
    <w:p>
      <w:pPr>
        <w:pStyle w:val="Heading2"/>
      </w:pPr>
      <w:r>
        <w:t>Erwägungen</w:t>
      </w:r>
    </w:p>
    <w:p>
      <w:r>
        <w:rPr>
          <w:b/>
        </w:rPr>
        <w:t>E. 1</w:t>
      </w:r>
    </w:p>
    <w:p>
      <w:r>
        <w:t>Nel caso in esame sono in discussione la durata contributiva e l'ammontare dei versamenti da trasferire. La querelata pronunzia, alla quale si rinvia, ha già compiutamente esposto le norme e i principi giurisprudenziali applicabili alla fattispecie. a) Giova nondimeno ricordare che, secondo l'art. 140 cpv. 1 lett. d OAVS, il conto individuale dell'assicurato comprende non solo l'anno, ma anche la durata contributiva in mesi e che, per il periodo precedente il 1° gennaio 1969, le registrazioni non riportando tali indicazioni, è stata sviluppata la giurisprudenza per cui, quando ciò non è altrimenti possibile, il conteggio avviene con l'ausilio di apposite tavole - edite dall'UFAS -, che ricostruiscono la durata di contribuzione presumibile negli anni 1948 - 1968 ( DTF 107 V 16 consid. 3b; RDAT 1999 II n. 64 pag. 239). Se la somma dei periodi non dà un numero intero di mesi, la frazione di mese residua viene arrotondata e, meglio, contata come mese intero ( DTF 107 V 14 consid. 3a). b) Va infine rammentato che, a norma dell' art 141 cpv. 3 OAVS , se nessun estratto viene richiesto, se la sua esattezza non viene contestata, o se un reclamo è stato respinto, la rettificazione delle registrazioni fatte nel conto individuale può essere domandata al momento in cui si verifica l'evento assicurato, soltanto quando gli errori di registrazione siano evidenti o debitamente provati.</w:t>
      </w:r>
    </w:p>
    <w:p>
      <w:r>
        <w:rPr>
          <w:b/>
        </w:rPr>
        <w:t>E. 2</w:t>
      </w:r>
    </w:p>
    <w:p>
      <w:r>
        <w:t>a) Nell'evenienza concreta, il primo giudice, in assenza di elementi più precisi in suo possesso e conformemente ai principi giurisprudenziali suesposti (consid. 1a), ha fatto capo ai rilevamenti delle tavole dell'UFAS per determinare i singoli periodi di contribuzione. Solo in sede di risposta al presente ricorso, la Cassa, preso atto della nuova documentazione prodotta attestante con esattezza i periodi di versamento, si è avveduta dell'incompletezza degli accertamenti esperiti e della conseguente inapplicabilità dei dati schematici risultanti dalle citate tavole. Ha pertanto ammesso l'erroneità del provvedimento 13 aprile 2000 e proposto l'accoglimento del gravame nel senso di annullare la pronunzia commissionale e di retrocederle gli atti per nuova decisione, rilevando che dall'esito delle nuove indagini scaturiva una durata contributiva di sette anni e quattro mesi che determinava l'applicazione di una nuova scala rendite (05) e, di conseguenza, l'aumento dell'indennità forfettaria, calcolata in fr. 31'307.-. b) Alla luce di quanto esposto, questa Corte non può che aderire alla proposta formulata dalla Cassa. Si giustifica pertanto l'accoglimento del gravame e il rinvio degli atti all'amministrazione, affinché emani una nuova decisione sul diritto di B._________ alla rendita di vecchiaia.</w:t>
      </w:r>
    </w:p>
    <w:p>
      <w:r>
        <w:rPr>
          <w:b/>
        </w:rPr>
        <w:t>E. 3</w:t>
      </w:r>
    </w:p>
    <w:p>
      <w:r>
        <w:t>Trattandosi in concreto di una lite avente per oggetto l'assegnazione di prestazioni assicurative, la procedura è gratuita ( art. 134 OG ). Vincente in causa, B._________, assistito da un legale, ha diritto a ripetibili, non essendovi motivo per scostarsi da tale principio e, di conseguenza, per escludere o ridurre il diritto a queste indennità. Se anche dall'assicurato, in ossequio al dovere che gli incombeva di collaborare nell'istruzione della causa (cfr. DTF 117 V 263 consid. 3b), ci si sarebbe potuto attendere che trasmettesse la documentazione prodotta in questa sede già precedentemente, tale atteggiamento non può tornargli di pregiudizio, ritenuto come questa Corte abbia già avuto modo di osservare che il fatto che l'assicurato abbia rimesso la necessaria documentazione solo in sede federale, non può essergli di nocumento (sentenza inedita del 29 luglio 1988 in re B., I 106/88). A ciò si aggiunge che l'operato delle autorità intervenute non può comunque andare esente da critiche, ritenuto come l'insorgente già in data 2 maggio 2000 avesse fornito sufficienti indicazioni alla Cassa in merito ai datori di lavoro che lo avevano impiegato nel periodo litigioso, e atteso come questa circostanza non poteva dispensarle dal procedere d'ufficio, in conformità del principio inquisitorio che informa il procedimento in materia di assicurazioni sociali ( DTF 122 V 158 consid. 1a, 121 V 210 consid. 6c e riferimenti) ai necessari chiarimenti che, alla luce di quanto fatto valere, si imponevano per stabilire i fatti determinanti, per esempio interpellando direttamente le ditte indicate o quantomeno invitando l'insorgente a produrre l'ulteriore documentazione in suo possesso.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