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148/00 vom 22. August 2000</w:t>
      </w:r>
    </w:p>
    <w:p>
      <w:r>
        <w:t>Bundesgericht, 2000-08-22, IT</w:t>
      </w:r>
    </w:p>
    <w:p>
      <w:r>
        <w:rPr>
          <w:b/>
        </w:rPr>
        <w:t xml:space="preserve">Quelle: </w:t>
      </w:r>
      <w:r>
        <w:t>https://mcp.opencaselaw.ch/entscheid/bger_H_148_00</w:t>
      </w:r>
    </w:p>
    <w:p>
      <w:r>
        <w:t>FR: TF H 148/00 du 22 août 2000</w:t>
      </w:r>
    </w:p>
    <w:p>
      <w:r>
        <w:t>IT: TF H 148/00 del 22 agosto 2000</w:t>
      </w:r>
    </w:p>
    <w:p>
      <w:pPr>
        <w:pStyle w:val="Heading2"/>
      </w:pPr>
      <w:r>
        <w:t>Regeste</w:t>
      </w:r>
    </w:p>
    <w:p>
      <w:r>
        <w:t>Assicurazione per la vecchiaia e per i superstiti</w:t>
      </w:r>
    </w:p>
    <w:p>
      <w:pPr>
        <w:pStyle w:val="Heading2"/>
      </w:pPr>
      <w:r>
        <w:t>Erwägungen</w:t>
      </w:r>
    </w:p>
    <w:p>
      <w:r>
        <w:rPr>
          <w:b/>
        </w:rPr>
        <w:t>E. 1</w:t>
      </w:r>
    </w:p>
    <w:p>
      <w:r>
        <w:t>Il ricorrente chiede in sostanza l'applicazione della procedura straordinaria di calcolo dei contributi invocando le perdite accumulate durante l'esercizio della propria attività indipendente accessoria. Qualora la lite non verta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w:t>
      </w:r>
    </w:p>
    <w:p>
      <w:r>
        <w:t>Nei considerandi dell'impugnato giudizio, ai quali può essere fatto riferimento, la Corte cantonale ha indicato in modo pertinente e completo quali siano i presupposti legali, di ordinanza e quelli sviluppati dalla giurisprudenza che devono essere adempiuti per poter applicare la procedura straordinaria di calcolo dei contributi per gli indipendenti ( art. 9 cpv. 2 LAVS e art. 25 cpv. 1 OAVS ; DTF 106 V 76 consid. 3a; SVR 1994 AVS no. 4 pag. 7 consid. 2.3). In particolare è stato rilevato che deve trattarsi di una modifica sostanziale del reddito, che i mutamenti durevoli, decisivi giusta l' art. 25 cpv. 1 OAVS , norma di eccezione da non interpretare in senso estensivo, devono aver influito sensibilmente sull'importo del reddito dell'assicurato, la modifica del reddito essendo sensibile se la variazione del medesimo è di almeno il 25 % (RCC 1992 pag. 500 consid. 2b/cc, 1984 pag. 508 consid. 3b e sentenze ivi citate; cfr. pure DTF 110 V 9 consid. 3b). Il mutamento della qualifica giuridica di una parte del reddito non costituisce un motivo sufficiente per applicare la procedura straordinaria (RCC 1988 pag. 36 consid. 3b, 1980 pag. 210 consid. 2), né si può tener conto di semplici fluttuazioni dovute alla congiuntura, attribuibili segnatamente a perdite subite (RCC 1992 pag. 500 consid. 2b/aa e sentenze ivi citate). Va infine rilevato che l'applicazione della procedura straordinaria di calcolo presuppone l'esistenza di un nesso causale tra la modifica delle basi di reddito e l'influsso sull'importo del reddito medesimo (Käser, Unterstellung und Beitragswesen in der obligatorischen AHV, seconda edizione, pag. 284 no. 14.57 e pag. 286 no. 14.62).</w:t>
      </w:r>
    </w:p>
    <w:p>
      <w:r>
        <w:rPr>
          <w:b/>
        </w:rPr>
        <w:t>E. 3</w:t>
      </w:r>
    </w:p>
    <w:p>
      <w:r>
        <w:t>La precedente istanza ha pure applicato correttamente i menzionati principi alla fattispecie concreta, per cui basta rinviare a quanto esposto nel giudizio querelato. Con il ricorso di diritto amministrativo l'insorgente nulla eccepisce che possa essere suscettibile di rimettere in forse le convincenti conclusioni del Tribunale cantonale. In particolare, egli non dimostra in alcun modo per quali motivi l'applicazione della procedura ordinaria sarebbe nel caso in esame censurabile. Ne deriva che il ricorso si appalesa infondato.</w:t>
      </w:r>
    </w:p>
    <w:p>
      <w:r>
        <w:rPr>
          <w:b/>
        </w:rPr>
        <w:t>E. 4</w:t>
      </w:r>
    </w:p>
    <w:p>
      <w:r>
        <w:t>Non trattandosi in concreto di una lite avente per oggetto l'assegnazione o il rifiuto di prestazioni assicurative, la procedura non è gratuita ( art. 134 OG e contrario). Visto l'esito della vertenza, in cui l'insorgente soccombe, le spese processuali sono poste a suo carico ( art. 135 e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