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123/02 vom 24. Februar 2003</w:t>
      </w:r>
    </w:p>
    <w:p>
      <w:r>
        <w:t>Bundesgericht, 2003-02-24, DE</w:t>
      </w:r>
    </w:p>
    <w:p>
      <w:r>
        <w:rPr>
          <w:b/>
        </w:rPr>
        <w:t xml:space="preserve">Quelle: </w:t>
      </w:r>
      <w:r>
        <w:t>https://mcp.opencaselaw.ch/entscheid/bger_H_123_02</w:t>
      </w:r>
    </w:p>
    <w:p>
      <w:r>
        <w:t>FR: TF H 123/02 du 24 février 2003</w:t>
      </w:r>
    </w:p>
    <w:p>
      <w:r>
        <w:t>IT: TF H 123/02 del 24 febbraio 2003</w:t>
      </w:r>
    </w:p>
    <w:p>
      <w:pPr>
        <w:pStyle w:val="Heading2"/>
      </w:pPr>
      <w:r>
        <w:t>Regeste</w:t>
      </w:r>
    </w:p>
    <w:p>
      <w:r>
        <w:t>Alters- und Hinterlassenenversicherung</w:t>
      </w:r>
    </w:p>
    <w:p>
      <w:pPr>
        <w:pStyle w:val="Heading2"/>
      </w:pPr>
      <w:r>
        <w:t>Erwägungen</w:t>
      </w:r>
    </w:p>
    <w:p>
      <w:r>
        <w:rPr>
          <w:b/>
        </w:rPr>
        <w:t>E. 1</w:t>
      </w:r>
    </w:p>
    <w:p>
      <w:r>
        <w:t>Kinder, deren Vater oder Mutter gestorben ist, haben gemäss Art. 25 Abs. 1 AHVG Anspruch auf eine Waisenrente. Nach Art. 25 Abs. 3 AHVG regelt der Bundesrat den Anspruch der Pflegekinder auf Waisenrente. Laut dem vom Bundesrat gestützt auf diese Delegationsnorm erlassenen Art. 49 Abs. 1 AHVV haben Pflegekinder beim Tod der Pflegeeltern Anspruch auf eine Waisenrente nach Art. 25 AHVG , wenn sie unentgeltlich zu dauernder Pflege und Erziehung aufgenommen worden sind. Das Stiefkind, das im Haushalt des Stiefvaters oder der Stiefmutter lebt, ist einem Pflegekind gleichgestellt, wenn der Stiefelternteil unentgeltlich für seinen Unterhalt aufgekommen ist (Hegnauer, Berner Kommentar, N 70 zu Art. 278 ZGB ; vgl. auch BGE 97 V 117 ). Wie es sich bei nicht gemeinsamen, während der Ehe gezeugten Kindern verhält, für welche die Beistandspflicht des Stiefelternteils nach Art. 278 Abs. 2 ZGB nicht gilt (Hegnauer, a.a.O., N 55 zu Art. 278 ZGB ), kann im Hinblick auf die nachfolgenden Erwägungen offen bleiben.</w:t>
      </w:r>
    </w:p>
    <w:p>
      <w:r>
        <w:rPr>
          <w:b/>
        </w:rPr>
        <w:t>E. 2</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(Hegnauer, Grundriss des Kindesrechts, 5. Aufl., Bern 1999, S. 76 N 10.04).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(ZAK 1992 S. 124 Erw. 3b mit Hinweisen). Die Pflegekindschaft erscheint in zahlreichen Formen, die sich in Zweck, Dauer, Beschaffenheit der aufnehmenden Stelle (Familie, Heim, Anstalt), in der finanziellen Ausgestaltung und den rechtlichen Grundlagen (freiwillige Unterbringung, behördliche Anordnung) unterscheiden (Hegnauer, Grundriss des Kindesrechts, S. 76 N 10.05). Nach der Verwaltungspraxis setzt der Waisenrentenanspruch voraus, dass zwischen Pflegekind und Pflegeelternteil ein eigentliches Pflegeverhältnis bestanden hat. Das Kind muss zu Pflege und Erziehung und nicht zur Arbeitsleistung oder zur beruflichen Ausbildung in die Hausgemeinschaft der Pflegeeltern aufgenommen worden sein (Rz 3208 der ab 1. Januar 2002 gültigen Wegleitung des BSV über die Renten, RWL). Das Pflegeverhältnis muss ferner auf Dauer begründet worden sein, wobei nicht erforderlich ist, dass es vor dem Rentenfall schon bestimmte Zeit gedauert hat (Rz 3215 f. RWL).</w:t>
      </w:r>
    </w:p>
    <w:p>
      <w:r>
        <w:rPr>
          <w:b/>
        </w:rPr>
        <w:t>E. 3</w:t>
      </w:r>
    </w:p>
    <w:p>
      <w:r>
        <w:t>Zwischen dem verstorbenen R.________ und den beiden Töchtern seiner Ehefrau, der heutigen Beschwerdeführerin, lag kein Pflegeverhältnis im Sinne des Gesetzes und der dargestellten Grundsätze vor. Bereits am 1. November 1996 wurde die erst seit kurzer Zeit (vier Monate bzw. zehn Tage) bestehende Hausgemeinschaft zwischen R.________ und den beiden Töchtern beendet, indem die Beschwerdeführerin mit ihren Kindern die eheliche Wohnung verliess. Bis zum Tod von R.________ am 18. Dezember 1998 wurde kein gemeinsamer Wohnsitz mehr begründet. Es kann auch nicht davon gesprochen werden, dass der verstorbene R.________ für den Unterhalt der Kinder T.________ und S.________ aufgekommen ist und die Mitverantwortung für deren Erziehung getragen hat, wie dies für die Annahme eines Pflegeverhältnisses aus sozialversicherungsrechtlicher Sicht vorausgesetzt wird. Ausgleichskasse und Vorinstanz haben den Anspruch auf Waisenrenten für die beiden Töchter der Versicherten somit zu Recht verneint, woran die in der Verwaltungsgerichtsbeschwerde erhobenen Einwendungen nichts zu ändern vermögen. Ob der Verstorbene nach der Auflösung des gemeinsamen Haushalts die Kinder gelegentlich betreute und ob gemeinsam Mahlzeiten eingenommen wurden, ist nicht entscheidend, da jedenfalls keine Hausgemeinschaft mehr vorlag. Sodann ist nicht die damalige Absicht der Eheleute I.________ und R.________, zu einem späteren Zeitpunkt, nach der Überwindung der Alkoholkrankheit von R.________, die eheliche Gemeinschaft wieder aufzunehmen, massgebend, sondern die tatsächliche Situation nach Aufgabe des gemeinsamen ehelichen Domizils. Schliesslich fällt auch die Tatsache, dass die Beschwerdeführerin ihrem Ehemann während dessen Krankheit beigestanden hat, nicht ausschlaggebend ins Gewicht, da dies die Beziehung zwischen den Eheleuten, nicht aber das hier interessierende Verhältnis des Verstorbenen zu den Töchtern der Beschwerdeführerin, betrifft. Aus dem Umstand, dass die Eheleute I.________ und R.________ offenbar auch nach der faktischen Trennung einander den gesetzlich geschuldeten Beistand leisteten ( Art. 159 Abs. 3 ZGB ), kann nicht auf das Vorliegen eines Pflegeverhältnisses zwischen R.________ und den beiden Töchtern geschlossen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