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118/99 vom 24. Mai 2000</w:t>
      </w:r>
    </w:p>
    <w:p>
      <w:r>
        <w:t>Bundesgericht, 2000-05-24, DE</w:t>
      </w:r>
    </w:p>
    <w:p>
      <w:r>
        <w:rPr>
          <w:b/>
        </w:rPr>
        <w:t xml:space="preserve">Quelle: </w:t>
      </w:r>
      <w:r>
        <w:t>https://mcp.opencaselaw.ch/entscheid/bger_H_118_99</w:t>
      </w:r>
    </w:p>
    <w:p>
      <w:r>
        <w:t>FR: TF H 118/99 du 24 mai 2000</w:t>
      </w:r>
    </w:p>
    <w:p>
      <w:r>
        <w:t>IT: TF H 118/99 del 24 maggio 2000</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 ersatzforderung für entgangene Beiträge an die kantonale Familienausgleichskasse richtet (vgl. BGE 119 V 80 Erw. 1b, 118 V 69 Erw. 1b mit Hinweis).</w:t>
      </w:r>
    </w:p>
    <w:p>
      <w:r>
        <w:rPr>
          <w:b/>
        </w:rPr>
        <w:t>E. 2</w:t>
      </w:r>
    </w:p>
    <w:p>
      <w:r>
        <w:t>Da es sich bei der angefochtenen Verfügung nicht um die Bewilligung oder Verweigerung von Versicherungsleis- tungen handelt, hat das Eidgenössische Versicherungsgericht nur zu prüfen, ob die Vorinstanz Bundesrecht verletzt hat, einschliesslich Überschreitung oder Missbrauch des Ermes- sens, oder ob der rechtserhebliche Sachverhalt offensicht- lich unrichtig, unvollständig oder unter Verletzung wesent- licher Verfahrensbestimmungen festgestellt worden ist (Art. 132 in Verbindung mit Art. 104 lit. a und b sowie Art. 105 Abs. 2 OG ).</w:t>
      </w:r>
    </w:p>
    <w:p>
      <w:r>
        <w:rPr>
          <w:b/>
        </w:rPr>
        <w:t>E. 3</w:t>
      </w:r>
    </w:p>
    <w:p>
      <w:r>
        <w:t>a) Das kantonale Gericht hat insbesondere unter Hinweis auf Gesetz ( Art. 52 AHVG ) und Rechtsprechung (vgl. auch BGE 123 V 12 mit Verweisungen) die Voraussetzungen zu- treffend dargelegt, unter denen ein verantwortliches Organ einer juristischen Person der Ausgleichskasse den durch schuldhafte Missachtung der Vorschriften über die Beitrags- abrechnung und -bezahlung ( Art. 14 Abs. 1 AHVG ; Art. 34 ff. AHVV) entstandenen Schaden zu ersetzen hat. Es kann darauf verwiesen werden. b) Sodann hat das Sozialversicherungsgericht richtig festgestellt, dass beim Beschwerdeführer als Organ der kon- kursiten AG die Haftungsvoraussetzungen gemäss Art. 52 AHVG erfüllt sind und dieser den entsprechenden der AHV verur- sachten - und in masslicher Hinsicht von ihm nicht bestrit- tenen - Schaden zu ersetzen hat. Hieran vermögen die in der Verwaltungsgerichtsbeschwerde erhobenen Einwände, mit denen sich im Wesentlichen bereits die Vorinstanz zutreffend aus- einandergesetzt hat, nichts zu ändern. Namentlich können auf Grund der vom Beschwerdeführer geltend gemachten Um- stände keine Rechtfertigungs- oder Exkulpationsgründe im Sinne der Rechtsprechung als gegeben erachtet werden (BGE 108 V 183 ff.; AHI-Praxis 1994 S. 105 Erw. 5b/cc, ZAK 1992 S. 248 Erw. 4b, 1985 S. 577 Erw. 3a und S. 621 unten f.). Die Vorbringen in der Verwaltungsgerichtsbeschwerde, mit denen - in Verkennung der Pflichten eines Verwaltungsrates - ein Verschulden bestritten wird, erschöpfen sich denn auch zur Hauptsache darin, dass der Beschwerdeführer als einzige Lösung der Probleme ein "Abwarten" bis zur Beruhi- gung der Lage und die "Hoffnung" auf entsprechende Ent- wicklungen für angezeigt hielt. Dass damit seitens des Beschwerdeführers den ihm obliegenden Kontroll- und Auf- sichtspflichten und damit seiner Verantwortlichkeit als einziger Verwaltungsrat der konkursiten Gesellschaft nicht Genüge getan worden ist, hat die Vorinstanz zutreffend und einlässlich dargetan. Im Übrigen sind auch sämtliche Aus- führungen in der Verwaltungsgerichtsbeschwerde nicht ge- eignet, die vorinstanzliche Feststellung des Sachverhalts als mangelhaft im Sinne des Art. 105 Abs. 2 OG oder die rechtliche Würdigung als bundesrechtswidrig erscheinen zu lassen (vgl. Erw. 2 hievor). Es muss daher bei der dem Beschwerdeführer gemäss vorinstanzlichem Entscheid aufer- legten Schadenersatzverpflichtung sein Bewenden haben. Den eingehenden Erwägungen des angefochtenen Entscheides, auf welche verwiesen werden kann, hat das Eidgenössische Ver- sicherungsgericht nichts beizufügen. Demnach erkennt das Eidg. Versicherungsgericht: I.Die Verwaltungsgerichtsbeschwerde wird abgewiesen, so- weit darauf einzutreten ist. II.Die Gerichtskosten von total Fr. 3500.- werden dem Be- schwerdeführer auferlegt und mit dem geleisteten Kostenvorschuss verrechnet. III.Dieses Urteil wird den Parteien, dem Sozialversiche- rungsgericht des Kantons Zürich und dem Bundesamt für Sozialversicherung zugestellt. Luzern, 24. Mai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