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C_96/2004 vom 17. Dezember 2004</w:t>
      </w:r>
    </w:p>
    <w:p>
      <w:r>
        <w:t>Bundesgericht, 2004-12-17, DE</w:t>
      </w:r>
    </w:p>
    <w:p>
      <w:r>
        <w:rPr>
          <w:b/>
        </w:rPr>
        <w:t xml:space="preserve">Quelle: </w:t>
      </w:r>
      <w:r>
        <w:t>https://mcp.opencaselaw.ch/entscheid/bger_C_96_2004</w:t>
      </w:r>
    </w:p>
    <w:p>
      <w:r>
        <w:t>FR: TF C_96/2004 du 17 décembre 2004</w:t>
      </w:r>
    </w:p>
    <w:p>
      <w:r>
        <w:t>IT: TF C_96/2004 del 17 dicembre 2004</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B.________) je eine "Bestätigung", wonach sie von der Gewerkschaft X.________ Beträge von insgesamt Fr. 2036.70 "als (teilweise) Lohnbevorschussung" für die Monate April bis Juni 2000 erhalten habe. Gleichzeitig "bevollmächtigt(e)" die Versicherte die Gewerkschaft X.________, "die bevorschussten Lohnguthaben bei der Firma B.________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B.________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w:t>
      </w:r>
    </w:p>
    <w:p>
      <w:r>
        <w:t>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w:t>
      </w:r>
    </w:p>
    <w:p>
      <w:r>
        <w:t>Anders präsentiert sich der hier zu beurteilende Sachverhalt: Eine vergleichbare Vereinbarung zwischen der bevorschussenden Gewerkschaft X.________ und der Firma B.________ im Sinne einer internen Schuldübernahme seitens der Gewerkschaft durch Befriedigung der Lohnforderungen gegenüber der Arbeitgeberin nach Art. 175 Abs. 1 OR wird von keiner Seite geltend gemacht. Die von der Gewerkschaft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 2000 noch immer Forderungen der Versicherten darstellten oder aber bereits zuvor infolge rechtsgültiger Abtretung an die Gewerkschaft X.________ übergegangen waren.</w:t>
      </w:r>
    </w:p>
    <w:p>
      <w:r>
        <w:t>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B.________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B.________ (habe) ihre Lohnforderungen an die Gewerkschaft X.________abgetreten".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w:t>
      </w:r>
    </w:p>
    <w:p>
      <w:r>
        <w:t>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B.________ in den letzten vier Monaten des Arbeitsverhältnisses (d.h. vom 1. März bis 30. Juni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w:t>
      </w:r>
    </w:p>
    <w:p>
      <w:r>
        <w:t>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