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C_39/2001 vom 27. Juni 2001</w:t>
      </w:r>
    </w:p>
    <w:p>
      <w:r>
        <w:t>Bundesgericht, 2001-06-27, DE</w:t>
      </w:r>
    </w:p>
    <w:p>
      <w:r>
        <w:rPr>
          <w:b/>
        </w:rPr>
        <w:t xml:space="preserve">Quelle: </w:t>
      </w:r>
      <w:r>
        <w:t>https://mcp.opencaselaw.ch/entscheid/bger_C_39_2001</w:t>
      </w:r>
    </w:p>
    <w:p>
      <w:r>
        <w:t>FR: TF C_39/2001 du 27 juin 2001</w:t>
      </w:r>
    </w:p>
    <w:p>
      <w:r>
        <w:t>IT: TF C_39/2001 del 27 giugno 2001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März 1999 zuviel bezogenen Taggeldleistungen sind sowohl die einjährige relative als auch die fünfjährige absolute Verwirkungsfrist auf jeden Fall eingehalten.</w:t>
      </w:r>
    </w:p>
    <w:p>
      <w:r>
        <w:rPr>
          <w:b/>
        </w:rPr>
        <w:t>E. 4</w:t>
      </w:r>
    </w:p>
    <w:p>
      <w:r>
        <w:t>Nach dem Gesagten lässt sich nicht beanstanden, dass die Arbeitslosenkasse mit Verfügung vom 11. Oktober 1999 wiedererwägungsweise auf die zu Unrecht erfolgte Gewährung von Arbeitslosenentschädigung zurückgekommen ist.</w:t>
      </w:r>
    </w:p>
    <w:p>
      <w:r>
        <w:t>Demnach erkennt das Eidg. Versicherungsgericht:</w:t>
      </w:r>
    </w:p>
    <w:p>
      <w:r>
        <w:t>I. Die Verwaltungsgerichtsbeschwerde wird abgewiesen.</w:t>
      </w:r>
    </w:p>
    <w:p>
      <w:r>
        <w:t>II. Es werden keine Gerichtskosten erhoben.</w:t>
      </w:r>
    </w:p>
    <w:p>
      <w:r>
        <w:t>III. Dieses Urteil wird den Parteien, dem Sozialversicherungsgericht des Kantons Zürich, dem Amt für Wirtschaft und Arbeit und dem Staatssekretariat für Wirtschaft</w:t>
      </w:r>
    </w:p>
    <w:p>
      <w:r>
        <w:t>zugestellt.</w:t>
      </w:r>
    </w:p>
    <w:p>
      <w:r>
        <w:t>Luzern, 27. Juni 2001</w:t>
      </w:r>
    </w:p>
    <w:p>
      <w:r>
        <w:t>Im Namen des</w:t>
      </w:r>
    </w:p>
    <w:p>
      <w:r>
        <w:t>Eidgenössischen Versicherungsgerichts</w:t>
      </w:r>
    </w:p>
    <w:p>
      <w:r>
        <w:t>Der Präsident der II. Kammer:</w:t>
      </w:r>
    </w:p>
    <w:p>
      <w:r>
        <w:t>Die Gerichtsschreiberin: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