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C_337/1998 vom 31. Januar 2000</w:t>
      </w:r>
    </w:p>
    <w:p>
      <w:r>
        <w:t>Bundesgericht, 2000-01-31, DE</w:t>
      </w:r>
    </w:p>
    <w:p>
      <w:r>
        <w:rPr>
          <w:b/>
        </w:rPr>
        <w:t xml:space="preserve">Quelle: </w:t>
      </w:r>
      <w:r>
        <w:t>https://mcp.opencaselaw.ch/entscheid/bger_C_337_1998</w:t>
      </w:r>
    </w:p>
    <w:p>
      <w:r>
        <w:t>FR: TF C_337/1998 du 31 janvier 2000</w:t>
      </w:r>
    </w:p>
    <w:p>
      <w:r>
        <w:t>IT: TF C_337/1998 del 31 gennaio 2000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November 1995 erklärte er seinen Rücktritt aus dem Ver-</w:t>
      </w:r>
    </w:p>
    <w:p>
      <w:r>
        <w:t>waltungsrat. Seine Ehefrau M.________ war im selben Unter-</w:t>
      </w:r>
    </w:p>
    <w:p>
      <w:r>
        <w:t>nehmen ab 1. Juli 1977 als kaufmännische Angestellte tätig.</w:t>
      </w:r>
    </w:p>
    <w:p>
      <w:r>
        <w:t>Über die Firma wurde am 21. Februar 1996 der Konkurs eröff-</w:t>
      </w:r>
    </w:p>
    <w:p>
      <w:r>
        <w:t>net. Am 29. Februar 1996 ersuchten M.________ und</w:t>
      </w:r>
    </w:p>
    <w:p>
      <w:r>
        <w:t>C.________ die Arbeitslosenkasse des Kantons Zürich um die</w:t>
      </w:r>
    </w:p>
    <w:p>
      <w:r>
        <w:t>Ausrichtung von Insolvenzentschädigung für die Zeit ab</w:t>
      </w:r>
    </w:p>
    <w:p>
      <w:r>
        <w:t>1. Januar bis 20. Februar 1996. Die Arbeitslosenkasse ver-</w:t>
      </w:r>
    </w:p>
    <w:p>
      <w:r>
        <w:t>neinte einen solchen Anspruch mit Verfügungen vom 11. Juni</w:t>
      </w:r>
    </w:p>
    <w:p>
      <w:r>
        <w:t>1996.</w:t>
      </w:r>
    </w:p>
    <w:p>
      <w:r>
        <w:t>B.- Hiegegen liessen C.________ und M.________ Be-</w:t>
      </w:r>
    </w:p>
    <w:p>
      <w:r>
        <w:t>schwerde erheben und beantragen, die Arbeitslosenkasse habe</w:t>
      </w:r>
    </w:p>
    <w:p>
      <w:r>
        <w:t>C.________ eine Insolvenzentschädigung von Fr. 23'799.45</w:t>
      </w:r>
    </w:p>
    <w:p>
      <w:r>
        <w:t>und M.________ eine solche von Fr. 17'174.75 zu entrichten.</w:t>
      </w:r>
    </w:p>
    <w:p>
      <w:r>
        <w:t>Mit Entscheid vom 26. August 1998 wies das Sozialversiche-</w:t>
      </w:r>
    </w:p>
    <w:p>
      <w:r>
        <w:t>rungsgericht des Kantons Zürich die Beschwerde ab.</w:t>
      </w:r>
    </w:p>
    <w:p>
      <w:r>
        <w:t>C.- Mit Verwaltungsgerichtsbeschwerde lassen</w:t>
      </w:r>
    </w:p>
    <w:p>
      <w:r>
        <w:t>C.________ und M.________ beantragen, die Arbeitslosenkasse</w:t>
      </w:r>
    </w:p>
    <w:p>
      <w:r>
        <w:t>habe ihnen die Insolvenzentschädigung gemäss den gesetzli-</w:t>
      </w:r>
    </w:p>
    <w:p>
      <w:r>
        <w:t>chen Ansprüchen auszurichten; eventualiter sei die Sache</w:t>
      </w:r>
    </w:p>
    <w:p>
      <w:r>
        <w:t>zur Neubeurteilung an die Vorinstanz zurückzuweisen.</w:t>
      </w:r>
    </w:p>
    <w:p>
      <w:r>
        <w:t>Die Arbeitslosenkasse verzichtet auf eine Stellungnah-</w:t>
      </w:r>
    </w:p>
    <w:p>
      <w:r>
        <w:t>me. Das Bundesamt für Wirtschaft und Arbeit (ab 1. Juli</w:t>
      </w:r>
    </w:p>
    <w:p>
      <w:r>
        <w:t>1999 Staatssekretariat für Wirtschaft, nachfolgend seco)</w:t>
      </w:r>
    </w:p>
    <w:p>
      <w:r>
        <w:t>hat sich nicht vernehmen lassen.</w:t>
      </w:r>
    </w:p>
    <w:p>
      <w:r>
        <w:t>Das Eidg. Versicherungsgericht zieht in Erwägung:</w:t>
      </w:r>
    </w:p>
    <w:p>
      <w:r>
        <w:t>1.- Streitig und zu prüfen ist der Anspruch der Be-</w:t>
      </w:r>
    </w:p>
    <w:p>
      <w:r>
        <w:t>schwerdeführer auf Insolvenzentschädigung.</w:t>
      </w:r>
    </w:p>
    <w:p>
      <w:r>
        <w:t>2.- Nach Art. 51 Abs. 1 lit. a AVIG haben beitrags-</w:t>
      </w:r>
    </w:p>
    <w:p>
      <w:r>
        <w:t>pflichtige Arbeitnehmer von Arbeitgebern, die in der</w:t>
      </w:r>
    </w:p>
    <w:p>
      <w:r>
        <w:t>Schweiz der Zwangsvollstreckung unterliegen oder in der</w:t>
      </w:r>
    </w:p>
    <w:p>
      <w:r>
        <w:t>Schweiz Arbeitnehmer beschäftigen, Anspruch auf Insolvenz-</w:t>
      </w:r>
    </w:p>
    <w:p>
      <w:r>
        <w:t>entschädigung, wenn gegen ihren Arbeitgeber der Konkurs</w:t>
      </w:r>
    </w:p>
    <w:p>
      <w:r>
        <w:t>eröffnet wird und ihnen in diesem Zeitpunkt Lohnforderungen</w:t>
      </w:r>
    </w:p>
    <w:p>
      <w:r>
        <w:t>zustehen.</w:t>
      </w:r>
    </w:p>
    <w:p>
      <w:r>
        <w:t>Keinen Anspruch auf Insolvenzentschädigung haben laut</w:t>
      </w:r>
    </w:p>
    <w:p>
      <w:r>
        <w:t>Abs. 2 derselben Bestimmung, in Kraft seit 1. Januar 1996,</w:t>
      </w:r>
    </w:p>
    <w:p>
      <w:r>
        <w:t>Personen, die in ihrer Eigenschaft als Gesellschafter, als</w:t>
      </w:r>
    </w:p>
    <w:p>
      <w:r>
        <w:t>finanziell am Betrieb Beteiligte oder als Mitglieder eines</w:t>
      </w:r>
    </w:p>
    <w:p>
      <w:r>
        <w:t>obersten betrieblichen Entscheidungsgremiums die Entschei-</w:t>
      </w:r>
    </w:p>
    <w:p>
      <w:r>
        <w:t>dungen des Arbeitgebers bestimmen oder massgeblich beein-</w:t>
      </w:r>
    </w:p>
    <w:p>
      <w:r>
        <w:t>flussen können, sowie ihre mitarbeitenden Ehegatten.</w:t>
      </w:r>
    </w:p>
    <w:p>
      <w:r>
        <w:t>Die Insolvenzentschädigung deckt Lohnforderungen für</w:t>
      </w:r>
    </w:p>
    <w:p>
      <w:r>
        <w:t>die letzten sechs Monate (bis 31. Dezember 1995: drei Mona-</w:t>
      </w:r>
    </w:p>
    <w:p>
      <w:r>
        <w:t>te) des Arbeitsverhältnisses, für jeden Monat jedoch nur</w:t>
      </w:r>
    </w:p>
    <w:p>
      <w:r>
        <w:t>bis zum Höchstbetrag nach Art. 3 Abs. 1 AVIG ( Art. 52 Abs.</w:t>
      </w:r>
    </w:p>
    <w:p>
      <w:r>
        <w:t>1 Satz 1 AVIG in der ab 1. Januar 1996 geltenden Fassung).</w:t>
      </w:r>
    </w:p>
    <w:p>
      <w:r>
        <w:t>3.- Die Arbeitslosenkasse hat in ihren Verfügungen vom</w:t>
      </w:r>
    </w:p>
    <w:p>
      <w:r>
        <w:t>11. Juni 1996 festgehalten, dass der Beschwerdeführer Mit-</w:t>
      </w:r>
    </w:p>
    <w:p>
      <w:r>
        <w:t>glied des Verwaltungsrates der Arbeitgeberin gewesen sei</w:t>
      </w:r>
    </w:p>
    <w:p>
      <w:r>
        <w:t>und seine Ehefrau im Betrieb mitgearbeitet habe, weshalb</w:t>
      </w:r>
    </w:p>
    <w:p>
      <w:r>
        <w:t>bei beiden gestützt auf Art. 51 Abs. 2 AVIG ein Anspruch</w:t>
      </w:r>
    </w:p>
    <w:p>
      <w:r>
        <w:t>auf Insolvenzentschädigung zu verneinen sei.</w:t>
      </w:r>
    </w:p>
    <w:p>
      <w:r>
        <w:t>Nachdem die Vorinstanz einen Anspruch auf Insolvenz-</w:t>
      </w:r>
    </w:p>
    <w:p>
      <w:r>
        <w:t>entschädigung ebenfalls unter Hinweis auf Art. 51 Abs. 2</w:t>
      </w:r>
    </w:p>
    <w:p>
      <w:r>
        <w:t>AVIG abgelehnt hatte, machen die Beschwerdeführer vor dem</w:t>
      </w:r>
    </w:p>
    <w:p>
      <w:r>
        <w:t>Eidgenössischen Versicherungsgericht geltend, dass diese</w:t>
      </w:r>
    </w:p>
    <w:p>
      <w:r>
        <w:t>Bestimmung erst am 1. Januar 1996 in Kraft getreten sei.</w:t>
      </w:r>
    </w:p>
    <w:p>
      <w:r>
        <w:t>4.- Zu prüfen ist zunächst, ob das AVIG in seiner al-</w:t>
      </w:r>
    </w:p>
    <w:p>
      <w:r>
        <w:t>ten, bis Ende 1995 geltenden Fassung oder aber der am 1.</w:t>
      </w:r>
    </w:p>
    <w:p>
      <w:r>
        <w:t>Januar 1996 in Kraft getretene Art. 51 Abs. 2 AVIG anwend-</w:t>
      </w:r>
    </w:p>
    <w:p>
      <w:r>
        <w:t>bar ist, somit die Frage nach der intertemporalrechtlichen</w:t>
      </w:r>
    </w:p>
    <w:p>
      <w:r>
        <w:t>Anwendbarkeit der neuen Gesetzesbestimmung.</w:t>
      </w:r>
    </w:p>
    <w:p>
      <w:r>
        <w:t>a) Nach der Rechtsprechung ist eine gesetzliche Ord-</w:t>
      </w:r>
    </w:p>
    <w:p>
      <w:r>
        <w:t>nung dann rückwirkend, wenn sie auf Sachverhalte angewendet</w:t>
      </w:r>
    </w:p>
    <w:p>
      <w:r>
        <w:t>wird, die sich abschliessend vor Inkrafttreten des neuen</w:t>
      </w:r>
    </w:p>
    <w:p>
      <w:r>
        <w:t>Rechts verwirklicht haben. Eine solche Rückwirkung ist ohne</w:t>
      </w:r>
    </w:p>
    <w:p>
      <w:r>
        <w:t>ausdrückliche gesetzliche Grundlage nur möglich, wenn sich</w:t>
      </w:r>
    </w:p>
    <w:p>
      <w:r>
        <w:t>die Rückwirkung aus dem Gesetzesinhalt als klar gewollt</w:t>
      </w:r>
    </w:p>
    <w:p>
      <w:r>
        <w:t>ergibt und wenn sie durch triftige Gründe veranlasst und</w:t>
      </w:r>
    </w:p>
    <w:p>
      <w:r>
        <w:t>zeitlich beschränkt ist ( BGE 122 V 408 Erw. 3b/aa, 120 V</w:t>
      </w:r>
    </w:p>
    <w:p>
      <w:r>
        <w:t>329 Erw. 8b, je mit Hinweisen). Von dieser Rückwirkung im</w:t>
      </w:r>
    </w:p>
    <w:p>
      <w:r>
        <w:t>eigentlichen Sinne zu unterscheiden ist die so genannte</w:t>
      </w:r>
    </w:p>
    <w:p>
      <w:r>
        <w:t>unechte Rückwirkung. Hier findet das neue Recht - gestützt</w:t>
      </w:r>
    </w:p>
    <w:p>
      <w:r>
        <w:t>auf Sachverhalte, die früher eingetreten sind und noch</w:t>
      </w:r>
    </w:p>
    <w:p>
      <w:r>
        <w:t>andauern - lediglich für die Zeit seit Inkrafttreten (ex</w:t>
      </w:r>
    </w:p>
    <w:p>
      <w:r>
        <w:t>nunc et pro futuro) Anwendung. Diese Rückwirkung ist bei</w:t>
      </w:r>
    </w:p>
    <w:p>
      <w:r>
        <w:t>kantonalen Erlassen und bundesrechtlichen Verordnungen</w:t>
      </w:r>
    </w:p>
    <w:p>
      <w:r>
        <w:t>grundsätzlich als zulässig zu erachten, sofern ihr nicht</w:t>
      </w:r>
    </w:p>
    <w:p>
      <w:r>
        <w:t>wohlerworbene Rechte entgegenstehen ( BGE 124 III 271</w:t>
      </w:r>
    </w:p>
    <w:p>
      <w:r>
        <w:t>Erw. 4e, 122 II 124 Erw. 3b/dd, 122 V 8 Erw. 3a, 408</w:t>
      </w:r>
    </w:p>
    <w:p>
      <w:r>
        <w:t>Erw. 3b/aa, je mit Hinweisen). Sieht hingegen ein Bundes-</w:t>
      </w:r>
    </w:p>
    <w:p>
      <w:r>
        <w:t>gesetz ausdrücklich oder sinngemäss die unechte Rückwirkung</w:t>
      </w:r>
    </w:p>
    <w:p>
      <w:r>
        <w:t>vor oder untersagt es eine solche, ist diese Anordnung</w:t>
      </w:r>
    </w:p>
    <w:p>
      <w:r>
        <w:t>gemäss Art. 113 Abs. 3 und 114bis Abs. 3 aBV für den</w:t>
      </w:r>
    </w:p>
    <w:p>
      <w:r>
        <w:t>Richter zum Vornherein verbindlich und kann nicht überprüft</w:t>
      </w:r>
    </w:p>
    <w:p>
      <w:r>
        <w:t>werden. Ob einer neuen bundesgesetzlichen Bestimmung die</w:t>
      </w:r>
    </w:p>
    <w:p>
      <w:r>
        <w:t>Bedeutung unechter Rückwirkung zukommt, muss sich aus dem</w:t>
      </w:r>
    </w:p>
    <w:p>
      <w:r>
        <w:t>Wortlaut (insbesondere der Übergangsbestimmungen), der</w:t>
      </w:r>
    </w:p>
    <w:p>
      <w:r>
        <w:t>sinngemässen Auslegung oder durch Lückenfüllung ergeben</w:t>
      </w:r>
    </w:p>
    <w:p>
      <w:r>
        <w:t>( BGE 122 V 8 Erw. 3a mit Hinweis).</w:t>
      </w:r>
    </w:p>
    <w:p>
      <w:r>
        <w:t>b) Das Eidgenössische Versicherungsgericht hat in sei-</w:t>
      </w:r>
    </w:p>
    <w:p>
      <w:r>
        <w:t>ner Rechtsprechung - in Übereinstimmung mit jener des Bun-</w:t>
      </w:r>
    </w:p>
    <w:p>
      <w:r>
        <w:t>desgerichts und der Doktrin - immer wieder den intertempo-</w:t>
      </w:r>
    </w:p>
    <w:p>
      <w:r>
        <w:t>ralen Grundsatz bestätigt, dass der Beurteilung einer Sache</w:t>
      </w:r>
    </w:p>
    <w:p>
      <w:r>
        <w:t>jene Rechtsnormen zu Grunde zu legen sind, die in Geltung</w:t>
      </w:r>
    </w:p>
    <w:p>
      <w:r>
        <w:t>standen, als sich der zu den materiellen Rechtsfolgen füh-</w:t>
      </w:r>
    </w:p>
    <w:p>
      <w:r>
        <w:t>rende und somit rechtserhebliche Sachverhalt verwirklichte</w:t>
      </w:r>
    </w:p>
    <w:p>
      <w:r>
        <w:t>(vgl. BGE 125 V 128 Erw. 1, 123 V 28 Erw. 3a, 122 V 36</w:t>
      </w:r>
    </w:p>
    <w:p>
      <w:r>
        <w:t>Erw. 1 mit Hinweis). Bei zusammengesetzten Tatbeständen,</w:t>
      </w:r>
    </w:p>
    <w:p>
      <w:r>
        <w:t>d.h. bei Rechtsnormen, welche den Eintritt der in ihr vor-</w:t>
      </w:r>
    </w:p>
    <w:p>
      <w:r>
        <w:t>gesehenen Rechtsfolge von der Verwirklichung mehrerer sub-</w:t>
      </w:r>
    </w:p>
    <w:p>
      <w:r>
        <w:t>sumtionsrelevanter Sachverhaltselemente abhängig machen,</w:t>
      </w:r>
    </w:p>
    <w:p>
      <w:r>
        <w:t>hat die Rechtsprechung erkannt, dass für die Entscheidung</w:t>
      </w:r>
    </w:p>
    <w:p>
      <w:r>
        <w:t>der intertemporalrechtlichen Anwendbarkeit massgeblich ist,</w:t>
      </w:r>
    </w:p>
    <w:p>
      <w:r>
        <w:t>unter der Herrschaft welcher Norm sich der Sachverhaltskom-</w:t>
      </w:r>
    </w:p>
    <w:p>
      <w:r>
        <w:t>plex schwergewichtig, überwiegend ereignet hat (BGE 123 V</w:t>
      </w:r>
    </w:p>
    <w:p>
      <w:r>
        <w:t>28 Erw. 3a; AHI 1995 S. 3 ff., 1994 S. 140 f. Erw. 5, je</w:t>
      </w:r>
    </w:p>
    <w:p>
      <w:r>
        <w:t>mit Hinweisen).</w:t>
      </w:r>
    </w:p>
    <w:p>
      <w:r>
        <w:t>c) Bei diesen Regeln handelt es sich um Richtlinien,</w:t>
      </w:r>
    </w:p>
    <w:p>
      <w:r>
        <w:t>die nicht stereotyp anzuwenden sind. Vielmehr entscheidet</w:t>
      </w:r>
    </w:p>
    <w:p>
      <w:r>
        <w:t>sich auch die Frage der intertemporalrechtlichen Geltung</w:t>
      </w:r>
    </w:p>
    <w:p>
      <w:r>
        <w:t>einer Norm primär nach den allgemein anerkannten Ausle-</w:t>
      </w:r>
    </w:p>
    <w:p>
      <w:r>
        <w:t>gungsgrundsätzen ( BGE 123 V 29 Erw. 3b).</w:t>
      </w:r>
    </w:p>
    <w:p>
      <w:r>
        <w:t>5.- a) Art. 51 Abs. 2 AVIG schliesst einen bestimmten</w:t>
      </w:r>
    </w:p>
    <w:p>
      <w:r>
        <w:t>Kreis von Arbeitnehmerinnen und Arbeitnehmern und damit von</w:t>
      </w:r>
    </w:p>
    <w:p>
      <w:r>
        <w:t>Versicherten im Sinne des Arbeitslosenversicherungsrechts</w:t>
      </w:r>
    </w:p>
    <w:p>
      <w:r>
        <w:t>( Art. 2 Abs. 1 AVIG ) vom Anspruch auf Insolvenzentschädi-</w:t>
      </w:r>
    </w:p>
    <w:p>
      <w:r>
        <w:t>gung aus. Demgegenüber waren die in dieser Bestimmung ge-</w:t>
      </w:r>
    </w:p>
    <w:p>
      <w:r>
        <w:t>nannten Personengruppen unter dem alten, bis 31. Dezember</w:t>
      </w:r>
    </w:p>
    <w:p>
      <w:r>
        <w:t>1995 gültig gewesenen Recht nicht grundsätzlich von der</w:t>
      </w:r>
    </w:p>
    <w:p>
      <w:r>
        <w:t>Anspruchsberechtigung ausgeschlossen ( BGE 112 V 55 ; ARV</w:t>
      </w:r>
    </w:p>
    <w:p>
      <w:r>
        <w:t>1986 Nr. 14 S. 53; Botschaft des Bundesrates zur zweiten</w:t>
      </w:r>
    </w:p>
    <w:p>
      <w:r>
        <w:t>Teilrevision des AVIG, BBl 1994 I 361, 379). Diese Schlech-</w:t>
      </w:r>
    </w:p>
    <w:p>
      <w:r>
        <w:t>terstellung einer bestimmten Kategorie von an sich Versi-</w:t>
      </w:r>
    </w:p>
    <w:p>
      <w:r>
        <w:t>cherten spricht gegen die rückwirkende Anwendung des</w:t>
      </w:r>
    </w:p>
    <w:p>
      <w:r>
        <w:t>Art. 51 Abs. 2 AVIG in dem Sinne, dass es für die intertem-</w:t>
      </w:r>
    </w:p>
    <w:p>
      <w:r>
        <w:t>poralrechtliche Frage einzig auf den Zeitpunkt der Konkurs-</w:t>
      </w:r>
    </w:p>
    <w:p>
      <w:r>
        <w:t>eröffnung ankommen könnte. Es kommt dazu, dass das Datum</w:t>
      </w:r>
    </w:p>
    <w:p>
      <w:r>
        <w:t>des Konkurserkenntnisses oft von Zufälligkeiten abhängt,</w:t>
      </w:r>
    </w:p>
    <w:p>
      <w:r>
        <w:t>auf welche die Versicherten praktisch keinen Einfluss haben</w:t>
      </w:r>
    </w:p>
    <w:p>
      <w:r>
        <w:t>(vgl. BGE 114 V 58 Erw. 3c). Dieser Gesichtspunkt hat in</w:t>
      </w:r>
    </w:p>
    <w:p>
      <w:r>
        <w:t>Art. 52 Abs. 1 AVIG (in den ab 1. Januar 1992 geltenden</w:t>
      </w:r>
    </w:p>
    <w:p>
      <w:r>
        <w:t>Fassungen) seinen Niederschlag gefunden, indem für die</w:t>
      </w:r>
    </w:p>
    <w:p>
      <w:r>
        <w:t>zeitliche Bemessung der Insolvenzentschädigung nicht, wie</w:t>
      </w:r>
    </w:p>
    <w:p>
      <w:r>
        <w:t>unter früherem Recht, der Tag der Konkurseröffnung (vgl.</w:t>
      </w:r>
    </w:p>
    <w:p>
      <w:r>
        <w:t>BGE 114 V 56), sondern der Zeitpunkt der Beendigung des</w:t>
      </w:r>
    </w:p>
    <w:p>
      <w:r>
        <w:t>Arbeitsverhältnisses massgebend ist (vgl. BGE 119 V 61</w:t>
      </w:r>
    </w:p>
    <w:p>
      <w:r>
        <w:t>Erw. 4b). Auf Grund der vorstehenden Ausführungen wider-</w:t>
      </w:r>
    </w:p>
    <w:p>
      <w:r>
        <w:t>spricht es Bundesrecht, für die Frage nach der intertempo-</w:t>
      </w:r>
    </w:p>
    <w:p>
      <w:r>
        <w:t>ralen Geltung des Art. 51 Abs. 2 AVIG einzig auf den - mehr</w:t>
      </w:r>
    </w:p>
    <w:p>
      <w:r>
        <w:t>oder weniger zufälligen - Zeitpunkt der Konkurseröffnung</w:t>
      </w:r>
    </w:p>
    <w:p>
      <w:r>
        <w:t>abzustellen. Vielmehr sind weitere Umstände mitzuberück-</w:t>
      </w:r>
    </w:p>
    <w:p>
      <w:r>
        <w:t>sichtigen, insbesondere der Zeitpunkt des Eintritts der</w:t>
      </w:r>
    </w:p>
    <w:p>
      <w:r>
        <w:t>Insolvenz des Arbeitgebers, welcher nicht mit dem Konkurs</w:t>
      </w:r>
    </w:p>
    <w:p>
      <w:r>
        <w:t>zusammenfallen muss, und der Beendigung des Arbeitsverhält-</w:t>
      </w:r>
    </w:p>
    <w:p>
      <w:r>
        <w:t>nisses ( BGE 114 V 59 Erw. 3d).</w:t>
      </w:r>
    </w:p>
    <w:p>
      <w:r>
        <w:t>b) Die Vorinstanz hat erwogen, dass der Beschwerdefüh-</w:t>
      </w:r>
    </w:p>
    <w:p>
      <w:r>
        <w:t>rer per 12. November 1995 aus dem Verwaltungsrat der Ar-</w:t>
      </w:r>
    </w:p>
    <w:p>
      <w:r>
        <w:t>beitgeberin ausgeschieden ist, dies ungeachtet des Umstan-</w:t>
      </w:r>
    </w:p>
    <w:p>
      <w:r>
        <w:t>des, dass die Änderung im Handelsregister nicht eingetragen</w:t>
      </w:r>
    </w:p>
    <w:p>
      <w:r>
        <w:t>worden ist. Das Eidgenössische Versicherungsgericht hat</w:t>
      </w:r>
    </w:p>
    <w:p>
      <w:r>
        <w:t>bisher offen gelassen, ob es im Rahmen des Art. 51 Abs. 2</w:t>
      </w:r>
    </w:p>
    <w:p>
      <w:r>
        <w:t>AVIG auf den Zeitpunkt des tatsächlichen Rücktritts oder</w:t>
      </w:r>
    </w:p>
    <w:p>
      <w:r>
        <w:t>auf die Löschung im Handelsregister ankommt (unveröffent-</w:t>
      </w:r>
    </w:p>
    <w:p>
      <w:r>
        <w:t>lichtes Urteil G. vom 12. Mai 1998, C 404/97). Diese Frage</w:t>
      </w:r>
    </w:p>
    <w:p>
      <w:r>
        <w:t>ist nunmehr entsprechend der Praxis zur Haftbarkeit der</w:t>
      </w:r>
    </w:p>
    <w:p>
      <w:r>
        <w:t>Verwaltungsräte für Schadenersatz nach Art. 52 AHVG zu</w:t>
      </w:r>
    </w:p>
    <w:p>
      <w:r>
        <w:t>beantworten. Eine parallele Betrachtungsweise drängt sich</w:t>
      </w:r>
    </w:p>
    <w:p>
      <w:r>
        <w:t>auf, weil es in beiden Bereichen um die Frage geht, bis</w:t>
      </w:r>
    </w:p>
    <w:p>
      <w:r>
        <w:t>wann der Verwaltungsrat tatsächlich auf die Tätigkeit der</w:t>
      </w:r>
    </w:p>
    <w:p>
      <w:r>
        <w:t>Gesellschaft Einfluss nehmen kann. Dies ist der Zeitpunkt</w:t>
      </w:r>
    </w:p>
    <w:p>
      <w:r>
        <w:t>des effektiven Rücktritts, welcher unmittelbar wirksam ist,</w:t>
      </w:r>
    </w:p>
    <w:p>
      <w:r>
        <w:t>und nicht die Löschung im Handelsregister oder das Datum</w:t>
      </w:r>
    </w:p>
    <w:p>
      <w:r>
        <w:t>der Publikation im Schweizerischen Handelsamtsblatt (BGE</w:t>
      </w:r>
    </w:p>
    <w:p>
      <w:r>
        <w:t>112 V 5 Erw. 3c mit Hinweisen; vgl. Forstmoser, Die aktien-</w:t>
      </w:r>
    </w:p>
    <w:p>
      <w:r>
        <w:t>rechtliche Verantwortlichkeit, 2. Aufl., S. 238 Rz 769;</w:t>
      </w:r>
    </w:p>
    <w:p>
      <w:r>
        <w:t>Nussbaumer, Die Haftung des Verwaltungsrates nach Art. 52</w:t>
      </w:r>
    </w:p>
    <w:p>
      <w:r>
        <w:t>AHVG , in: AJP 9/96 S. 1081; Frésard, La responsabilité de</w:t>
      </w:r>
    </w:p>
    <w:p>
      <w:r>
        <w:t>l'employeur pour le non-paiement de cotisations d'assu-</w:t>
      </w:r>
    </w:p>
    <w:p>
      <w:r>
        <w:t>rances sociales selon l'art. 52 LAVS, in: SVZ 1987 S.</w:t>
      </w:r>
    </w:p>
    <w:p>
      <w:r>
        <w:t>11).</w:t>
      </w:r>
    </w:p>
    <w:p>
      <w:r>
        <w:t>c) Die massgebliche Einflussmöglichkeit als Verwal-</w:t>
      </w:r>
    </w:p>
    <w:p>
      <w:r>
        <w:t>tungsrat als wesentliches Sachverhaltselement hat sich dem-</w:t>
      </w:r>
    </w:p>
    <w:p>
      <w:r>
        <w:t>zufolge vorliegend vor dem 1. Januar 1996 verwirklicht.</w:t>
      </w:r>
    </w:p>
    <w:p>
      <w:r>
        <w:t>Ebenso haben die finanziellen Schwierigkeiten, die</w:t>
      </w:r>
    </w:p>
    <w:p>
      <w:r>
        <w:t>schliesslich zum Konkurs geführt haben, bereits beim Aus-</w:t>
      </w:r>
    </w:p>
    <w:p>
      <w:r>
        <w:t>tritt aus dem Verwaltungsrat und somit vor dem 1. Januar</w:t>
      </w:r>
    </w:p>
    <w:p>
      <w:r>
        <w:t>1996 bestanden, wurde doch bereits im Schreiben der I. AG</w:t>
      </w:r>
    </w:p>
    <w:p>
      <w:r>
        <w:t>vom 22. November 1995 erwähnt, dass möglicherweise die Bi-</w:t>
      </w:r>
    </w:p>
    <w:p>
      <w:r>
        <w:t>lanz der Arbeitgeberfirma hinterlegt werden müsse, und er-</w:t>
      </w:r>
    </w:p>
    <w:p>
      <w:r>
        <w:t>folgte die Kündigung am 28. November 1995 aus wirtschaftli-</w:t>
      </w:r>
    </w:p>
    <w:p>
      <w:r>
        <w:t>chen Gründen. Der Beschwerdeführer äusserte denn auch in</w:t>
      </w:r>
    </w:p>
    <w:p>
      <w:r>
        <w:t>seinem Rücktrittsschreiben vom 12. November 1995, vom be-</w:t>
      </w:r>
    </w:p>
    <w:p>
      <w:r>
        <w:t>vorstehenden Verkauf der Firma gehört zu haben. Bis ins</w:t>
      </w:r>
    </w:p>
    <w:p>
      <w:r>
        <w:t>Jahr 1996 hinein, nämlich bis 20. Februar 1996 und somit</w:t>
      </w:r>
    </w:p>
    <w:p>
      <w:r>
        <w:t>bis einen Tag vor der Konkurseröffnung, dauerte indessen</w:t>
      </w:r>
    </w:p>
    <w:p>
      <w:r>
        <w:t>sein Arbeitsverhältnis als Bauführer. Wohl fiel demzufolge</w:t>
      </w:r>
    </w:p>
    <w:p>
      <w:r>
        <w:t>der Zeitraum der Einflussmöglichkeit des Beschwerdeführers</w:t>
      </w:r>
    </w:p>
    <w:p>
      <w:r>
        <w:t>ins Jahr 1995 (10. Februar bis 12. November 1995) und war</w:t>
      </w:r>
    </w:p>
    <w:p>
      <w:r>
        <w:t>der in Art. 51 Abs. 2 AVIG angesprochene Sachverhalt an</w:t>
      </w:r>
    </w:p>
    <w:p>
      <w:r>
        <w:t>sich vor dem 1. Januar 1996 abgeschlossen, doch dauerten</w:t>
      </w:r>
    </w:p>
    <w:p>
      <w:r>
        <w:t>die Folgen, nämlich die misslichen finanziellen Verhältnis-</w:t>
      </w:r>
    </w:p>
    <w:p>
      <w:r>
        <w:t>se, die schliesslich zum Konkurs führten und für die ein in</w:t>
      </w:r>
    </w:p>
    <w:p>
      <w:r>
        <w:t>der Firma selber mitarbeitender Verwaltungsrat ohne weitere</w:t>
      </w:r>
    </w:p>
    <w:p>
      <w:r>
        <w:t>Prüfung seiner effektiven Einflussmöglichkeiten einzustehen</w:t>
      </w:r>
    </w:p>
    <w:p>
      <w:r>
        <w:t>hat (vgl. ARV 1997 Nr. 41 S. 226 Erw. 1b), über den Aus-</w:t>
      </w:r>
    </w:p>
    <w:p>
      <w:r>
        <w:t>tritt aus dem Verwaltungsrat an. Dieser Sachverhalt ist</w:t>
      </w:r>
    </w:p>
    <w:p>
      <w:r>
        <w:t>nach den erwähnten Grundsätzen der unechten Rückwirkung</w:t>
      </w:r>
    </w:p>
    <w:p>
      <w:r>
        <w:t>auch unter der Herrschaft des neuen Art. 51 Abs. 2 AVIG zu</w:t>
      </w:r>
    </w:p>
    <w:p>
      <w:r>
        <w:t>berücksichtigen. Der Beschwerdeführer hat daher ab 1. Ja-</w:t>
      </w:r>
    </w:p>
    <w:p>
      <w:r>
        <w:t>nuar 1996 für den vorher verwirklichten Sachverhalt einzu-</w:t>
      </w:r>
    </w:p>
    <w:p>
      <w:r>
        <w:t>stehen.</w:t>
      </w:r>
    </w:p>
    <w:p>
      <w:r>
        <w:t>d) Zusammenfassend lässt sich festhalten, dass in</w:t>
      </w:r>
    </w:p>
    <w:p>
      <w:r>
        <w:t>Übereinstimmung mit den Verfügungen der Arbeitslosenkasse</w:t>
      </w:r>
    </w:p>
    <w:p>
      <w:r>
        <w:t>und dem vorinstanzlichen Entscheid ein Anspruch auf Insol-</w:t>
      </w:r>
    </w:p>
    <w:p>
      <w:r>
        <w:t>venzentschädigung zu verneinen ist, soweit es um Lohn ab</w:t>
      </w:r>
    </w:p>
    <w:p>
      <w:r>
        <w:t>1. Januar 1996 geht. Wie aus den Akten hervorgeht, sind</w:t>
      </w:r>
    </w:p>
    <w:p>
      <w:r>
        <w:t>vorliegend jedoch auch Löhne für das Jahr 1995 streitig,</w:t>
      </w:r>
    </w:p>
    <w:p>
      <w:r>
        <w:t>nämlich Entschädigung für nicht bezogene Ferientage. Dies-</w:t>
      </w:r>
    </w:p>
    <w:p>
      <w:r>
        <w:t>bezüglich besteht auf Grund der Rechtslage bis Ende 1995</w:t>
      </w:r>
    </w:p>
    <w:p>
      <w:r>
        <w:t>grundsätzlich ein Entschädigungsanspruch, der näher abzu-</w:t>
      </w:r>
    </w:p>
    <w:p>
      <w:r>
        <w:t>klären und verfügungsweise zu erledigen sein wird.</w:t>
      </w:r>
    </w:p>
    <w:p>
      <w:r>
        <w:t>6.- Das Verfahren ist kostenlos ( Art. 134 OG ). Dem</w:t>
      </w:r>
    </w:p>
    <w:p>
      <w:r>
        <w:t>Prozessausgang entsprechend haben die Beschwerdeführer</w:t>
      </w:r>
    </w:p>
    <w:p>
      <w:r>
        <w:t>Anspruch auf eine reduzierte Parteientschädigung (Art. 135</w:t>
      </w:r>
    </w:p>
    <w:p>
      <w:r>
        <w:t>in Verbindung mit Art. 159 Abs. 3 OG ).</w:t>
      </w:r>
    </w:p>
    <w:p>
      <w:r>
        <w:t>Demnach erkennt das Eidg. Versicherungsgericht:</w:t>
      </w:r>
    </w:p>
    <w:p>
      <w:r>
        <w:t>I. In teilweiser Gutheissung der Verwaltungsgerichtsbe-</w:t>
      </w:r>
    </w:p>
    <w:p>
      <w:r>
        <w:t>schwerde werden der Entscheid des Sozialversicherungs-</w:t>
      </w:r>
    </w:p>
    <w:p>
      <w:r>
        <w:t>gerichts des Kantons Zürich vom 26. August 1998 und</w:t>
      </w:r>
    </w:p>
    <w:p>
      <w:r>
        <w:t>die Verfügungen der Arbeitslosenkasse des Kantons</w:t>
      </w:r>
    </w:p>
    <w:p>
      <w:r>
        <w:t>Zürich vom 11. Juni 1996 aufgehoben, soweit damit ein</w:t>
      </w:r>
    </w:p>
    <w:p>
      <w:r>
        <w:t>Anspruch auf Insolvenzentschädigung für 1995 verneint</w:t>
      </w:r>
    </w:p>
    <w:p>
      <w:r>
        <w:t>wird, und die Sache an die Arbeitslosenkasse zurück-</w:t>
      </w:r>
    </w:p>
    <w:p>
      <w:r>
        <w:t>gewiesen, damit sie nach ergänzenden Abklärungen über</w:t>
      </w:r>
    </w:p>
    <w:p>
      <w:r>
        <w:t>eine allfällige Insolvenzentschädigung für Löhne des</w:t>
      </w:r>
    </w:p>
    <w:p>
      <w:r>
        <w:t>Jahres 1995 befinde. Im Übrigen wird die Verwaltungs-</w:t>
      </w:r>
    </w:p>
    <w:p>
      <w:r>
        <w:t>gerichtsbeschwerde abgewiesen.</w:t>
      </w:r>
    </w:p>
    <w:p>
      <w:r>
        <w:t>II. Es werden keine Gerichtskosten erhoben.</w:t>
      </w:r>
    </w:p>
    <w:p>
      <w:r>
        <w:t>III. Die Arbeitslosenkasse des Kantons Zürich hat den Be-</w:t>
      </w:r>
    </w:p>
    <w:p>
      <w:r>
        <w:t>schwerdeführern für das Verfahren vor dem Eidgenössi-</w:t>
      </w:r>
    </w:p>
    <w:p>
      <w:r>
        <w:t>schen Versicherungsgericht eine Parteientschädigung</w:t>
      </w:r>
    </w:p>
    <w:p>
      <w:r>
        <w:t>von Fr. 500.- (einschliesslich Mehrwertsteuer) zu</w:t>
      </w:r>
    </w:p>
    <w:p>
      <w:r>
        <w:t>bezahlen.</w:t>
      </w:r>
    </w:p>
    <w:p>
      <w:r>
        <w:t>IV. Das Sozialversicherungsgericht des Kantons Zürich wird</w:t>
      </w:r>
    </w:p>
    <w:p>
      <w:r>
        <w:t>über eine Parteientschädigung für das kantonale Ver-</w:t>
      </w:r>
    </w:p>
    <w:p>
      <w:r>
        <w:t>fahren entsprechend dem Ausgang des letztinstanzlichen</w:t>
      </w:r>
    </w:p>
    <w:p>
      <w:r>
        <w:t>Prozesses zu befinden haben.</w:t>
      </w:r>
    </w:p>
    <w:p>
      <w:r>
        <w:t>V. Dieses Urteil wird den Parteien, dem Sozialversiche-</w:t>
      </w:r>
    </w:p>
    <w:p>
      <w:r>
        <w:t>rungsgericht des Kantons Zürich, dem Amt für Wirt-</w:t>
      </w:r>
    </w:p>
    <w:p>
      <w:r>
        <w:t>schaft und Arbeit, Zürich, und dem Staatssekretariat</w:t>
      </w:r>
    </w:p>
    <w:p>
      <w:r>
        <w:t>für Wirtschaft zugestellt.</w:t>
      </w:r>
    </w:p>
    <w:p>
      <w:r>
        <w:t>Luzern, 31. Januar 2000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