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C_32/2005 vom 28. Juli 2005</w:t>
      </w:r>
    </w:p>
    <w:p>
      <w:r>
        <w:t>Bundesgericht, 2005-07-28, DE</w:t>
      </w:r>
    </w:p>
    <w:p>
      <w:r>
        <w:rPr>
          <w:b/>
        </w:rPr>
        <w:t xml:space="preserve">Quelle: </w:t>
      </w:r>
      <w:r>
        <w:t>https://mcp.opencaselaw.ch/entscheid/bger_C_32_2005</w:t>
      </w:r>
    </w:p>
    <w:p>
      <w:r>
        <w:t>FR: TF C_32/2005 du 28 juillet 2005</w:t>
      </w:r>
    </w:p>
    <w:p>
      <w:r>
        <w:t>IT: TF C_32/2005 del 28 luglio 2005</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w:t>
      </w:r>
    </w:p>
    <w:p>
      <w:r>
        <w:t>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3956.65, Fr. 3956.65 und Fr. 1978.30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w:t>
      </w:r>
    </w:p>
    <w:p>
      <w:r>
        <w:t>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Ob die Versicherte der Z.________ GmbH einen Teil der erhaltenen Leistung zurückbezahlt hat, wie sie letztinstanzlich - entgegen ihrer Zeugenaussage vor kantonalem Gericht - geltend macht, oder nicht, ändert am Ergebnis nichts.</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