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328/99 vom 27. März 2000</w:t>
      </w:r>
    </w:p>
    <w:p>
      <w:r>
        <w:t>Bundesgericht, 2000-03-27, FR</w:t>
      </w:r>
    </w:p>
    <w:p>
      <w:r>
        <w:rPr>
          <w:b/>
        </w:rPr>
        <w:t xml:space="preserve">Quelle: </w:t>
      </w:r>
      <w:r>
        <w:t>https://mcp.opencaselaw.ch/entscheid/bger_C_328_99</w:t>
      </w:r>
    </w:p>
    <w:p>
      <w:r>
        <w:t>FR: TF C 328/99 du 27 mars 2000</w:t>
      </w:r>
    </w:p>
    <w:p>
      <w:r>
        <w:t>IT: TF C 328/99 del 27 marzo 2000</w:t>
      </w:r>
    </w:p>
    <w:p>
      <w:pPr>
        <w:pStyle w:val="Heading2"/>
      </w:pPr>
      <w:r>
        <w:t>Regeste</w:t>
      </w:r>
    </w:p>
    <w:p>
      <w:r>
        <w:t>Assurance-chômage</w:t>
      </w:r>
    </w:p>
    <w:p>
      <w:pPr>
        <w:pStyle w:val="Heading2"/>
      </w:pPr>
      <w:r>
        <w:t>Erwägungen</w:t>
      </w:r>
    </w:p>
    <w:p>
      <w:r>
        <w:rPr>
          <w:b/>
        </w:rPr>
        <w:t>E. 1</w:t>
      </w:r>
    </w:p>
    <w:p>
      <w:r>
        <w:t>Selon l' art. 65 LACI , les assurés dont le place- ment est difficile et qui, accomplissant une initiation au travail dans une entreprise, reçoivent de ce fait un sa- laire réduit, peuvent bénéficier d'allocations d'initiation au travail lorsque : a. Ils remplissent la condition fixée à l'article 60, 1er alinéa, lettre b; b. Le salaire réduit durant la mise au courant correspond au moins au travail fourni et c. Qu'au terme de cette période, l'assuré peut escompter un engagement aux conditions usuelles dans la branche et la région, compte tenu, le cas échéant, d'une capacité de travail durablement restreinte. Selon l' art. 66 LACI , les allocations d'initiation au travail couvrent la différence entre le salaire effectif et le salaire normal que l'assuré peut prétendre au terme de sa mise au courant, compte tenu de sa capacité de travail, mais tout au plus 60 pour cent du salaire normal (al. 1). Pendant le délai-cadre, elles sont versées pour six mois au plus, dans des cas exceptionnels, notamment pour des chô- meurs âgés, pour douze mois au plus (al. 2). D'autre part, bien que les assurés soient eux-mêmes titulaires du droit aux allocations d'initiation au tra- vail, celles-ci sont versées par la caisse à l'employeur; ce dernier les verse à son tour à l'assuré avec le salaire convenu ( art. 90 al. 4 OACI ).</w:t>
      </w:r>
    </w:p>
    <w:p>
      <w:r>
        <w:rPr>
          <w:b/>
        </w:rPr>
        <w:t>E. 2</w:t>
      </w:r>
    </w:p>
    <w:p>
      <w:r>
        <w:t>a) Dans ses décisions des 30 décembre 1997 et 13 mars 1998, l'office régional de placement a réservé l'éventualité d'une restitution des prestations si le con- trat de travail était résilié, en dehors du temps d'essai et sans justes motifs, pendant la période d'initiation ou dans les trois mois suivant celle-ci. Une telle réserve doit être comprise en ce sens que le versement des alloca- tions a lieu sous condition résolutoire, appelée aussi réserve de révocation (cf. ATF 111 V 223 consid. 1; Grisel, Traité de droit administratif, vol. I p. 408). Elle est tout à fait admissible au regard du but de la mesure, qui est de favoriser l'engagement durable de personnes au chô- mage dont le placement est fortement entravé; il s'agit également d'éviter une sous-enchère sur les salaires, ainsi qu'un subventionnement des employeurs par l'assurance-chô- mage ( ATF 112 V 251 sv. consid. 3b; Nussbaumer, Arbeits- losenversicherung, in : Schweizerisches Bundesverwaltungs- recht [SBVR], Soziale Sicherheit, ch. 583; Daniele Cattaneo, Les mesures préventives et de réadaptation de l'assurance-chômage, thèse Genève 1992, n° 780 ss, p. 467 ss). L'autorité cantonale peut même exiger que la condition légale d'un engagement aux conditions usuelles dans la branche et la région, après la période d'initiation ( art. 65 let . c LACI), fasse l'objet d'un contrat écrit ( art. 90 al. 3 OACI ). L'employeur peut ainsi être tenu à restituer les allocations perçues si les rapports de tra- vail sont résiliés sans justes motifs avant l'échéance du délai indiqué par l'administration dans sa décision; cette restitution s'opère conformément à l' art. 95 al. 1 LACI (Gerhards, Kommentar zum Arbeitslosenversicherungsgesetz, vol. II, note 30 ad art. 65-67). Quant à la notion de justes motifs, elle est, dans le présent contexte, la même que celle définie à l' art. 337 CO (Dieter Freiburghaus, Präventivmassnahmen gegen die Arbeitslosigkeit in der Sch- weiz, Berne 1987, p. 51). La restitution ne peut toutefois pas être exigée quand le contrat de travail est résilié pendant le temps d'essai, attendu que celui-ci a notamment pour but de permettre aux parties de réfléchir avant de s'engager pour une plus lon- gue période ( ATF 124 V 246 ). b) Selon l' art. 95 al. 1 LACI , la caisse est tenue d'exiger du bénéficiaire la restitution des prestations de l'assurance auxquelles il n'avait pas droit (première phra- se). Si le bénéficiaire des prestations était de bonne foi en les acceptant et si leur restitution devait entraîner des rigueurs particulières, on y renoncera, sur demande, en tout ou partie ( art. 95 al. 2 LACI ). En matière d'assurances sociales, la restitution de prestations suppose, en règle ordinaire, que soient rem- plies les conditions d'une reconsidération ou d'une révi- sion procédurale de la décision par laquelle les presta- tions en cause ont été allouées ( ATF 122 V 21 consid. 3a, 368 consid. 3, et la jurisprudence citée). L'administration peut reconsidérer une décision formellement passée en force de chose jugée et sur laquelle une autorité judiciaire ne s'est pas prononcée quant au fond, à condition qu'elle soit sans nul doute erronée et que sa rectification revête une importance notable ( ATF 122 V 21 consid. 3a, 173 con- sid. 4a, 271 consid. 2, 368 consid. 3 et les arrêts cités). En outre, par analogie avec la révision des décisions ren- dues par les autorités judiciaires, l'administration est tenue de procéder à la révision d'une décision entrée en force formelle lorsque sont découverts des faits nouveaux ou de nouveaux moyens de preuve, susceptibles de conduire à une appréciation juridique différente ( ATF 122 V 21 con- sid. 3a, 138 consid. 2c, 173 consid. 4a, 272 consid. 2). Cependant, quand le versement de prestations a eu lieu, comme en l'espèce, sous condition résolutoire, l'ad- ministration peut en demander la restitution sans être liée par les conditions susmentionnées relatives à la révocation des décisions ( ATF 117 V 139 consid. 4b; Moor, Droit admi- nistratif, vol. II, p. 48). En outre, une remise de l'obli- gation de restituer selon l' art. 95 al. 2 LACI est exclue, car le débiteur doit s'attendre à devoir rembourser les prestations en cas de non-respect des conditions fixées, ce qui ne lui permet pas d'invoquer sa bonne foi (RCC 1988 p. 550).</w:t>
      </w:r>
    </w:p>
    <w:p>
      <w:r>
        <w:rPr>
          <w:b/>
        </w:rPr>
        <w:t>E. 3</w:t>
      </w:r>
    </w:p>
    <w:p>
      <w:r>
        <w:t>a) En l'espèce, les deux contrats de travail en cause ont été résiliés par l'employeur (en dehors du temps d'essai) avant l'expiration du délai de trois mois suivant la fin de la période d'initiation, fixé par l'office ré- gional de placement dans ses décisions. Il s'agit donc de savoir si l'employeur peut se prévaloir de justes motifs. Sont notamment considérées comme de justes motifs toutes les circonstances qui, selon les règles de la bonne foi, ne permettent pas d'exiger de celui qui a donné le congé la continuation des rapports de travail ( art. 337 al. 2 CO). D'après la jurisprudence, seul un manquement particulièrement grave du travailleur justifie son licen- ciement immédiat. Un tel manquement suppose que le travail- leur ait violé soit l'une de ses obligations au travail, soit son devoir de fidélité. Si le manquement est moins grave, il ne peut entraîner une résiliation immédiate que s'il a été répété malgré un avertissement ( ATF 121 III 472 consid. 4d et les arrêts cités). b) Dans le cas de J.________, l'employeur a invoqué des griefs d'ordre général - au demeurant contestés par l'intéressée - liés à la qualité du travail fourni. A l'évidence il ne s'agit pas de manquements pouvant justi- fier une résiliation immédiate. Quant au motif tiré des absences répétées de la travailleuse, il ne peut pas être retenu comme un juste motif de résiliation. A l'exception, semble-t-il, d'une brève absence motivée par le décès du frère de l'intéressée, les absences reprochées étaient dues à la maladie, soit un empêchement non fautif de travailler au sens de l' art. 324a al. 1 CO , qui ne saurait justifier le licenciement immédiat du travailleur ( art. 337 al. 3 CO). En ce qui concerne K.________, l'employeur n'a formulé aucun reproche susceptible d'entrer dans les prévisions de l' art. 337 CO . Le fait qu'il n'était pas en mesure de pro- curer suffisamment de travail à l'assurée, en raison du manque de développement d'un secteur d'activité de la société, ne saurait le dispenser de son obligation de res- tituer. S'il apparaît que l'employeur n'est plus à même, peu de temps après le début de la période d'initiation, de garantir un emploi durable au salarié, en raison d'un man- que de travail, cela démontre que le but du versement des allocations ne sera pas atteint et que les allocations déjà versées l'ont été indûment. On ne voit pas de raison qui justifierait une renonciation à restitution dans un tel cas. c) En conséquence, l'office régional de placement était en droit, comme l'ont retenu avec raison les premiers juges, de réclamer à la recourante la restitution des allo- cations versées. Le recours de droit administratif se révèle ainsi mal fondé.</w:t>
      </w:r>
    </w:p>
    <w:p>
      <w:r>
        <w:rPr>
          <w:b/>
        </w:rPr>
        <w:t>E. 4</w:t>
      </w:r>
    </w:p>
    <w:p>
      <w:r>
        <w:t>Vu la nature du litige, il n'y a pas lieu à per- ception de frais de justice ( art. 134 OJ ). La demande d'assistance judiciaire présentée par la recourante n'a ainsi d'objet que dans la mesure où elle tend à la prise en charge par la caisse du tribunal des honoraires de son mandataire. Cependant, d'après la juris- prudence relative à l' art. 152 OJ , l'assistance judiciaire ne peut en principe pas être accordée aux personnes mora- les. Celles-ci sont des entités juridiques qui n'ont pas besoin de pourvoir à leur entretien et à celui des proches. Elles ne peuvent être qu'insolvables, obérées ou manquer de liquidités ( ATF 119 Ia 339 consid. 4b). Une exception à cette règle (cf. ATF 119 Ia 340 consid. 4e) ne se justifie pas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