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327/99 vom 8. Mai 2000</w:t>
      </w:r>
    </w:p>
    <w:p>
      <w:r>
        <w:t>Bundesgericht, 2000-05-08, DE</w:t>
      </w:r>
    </w:p>
    <w:p>
      <w:r>
        <w:rPr>
          <w:b/>
        </w:rPr>
        <w:t xml:space="preserve">Quelle: </w:t>
      </w:r>
      <w:r>
        <w:t>https://mcp.opencaselaw.ch/entscheid/bger_C_327_99</w:t>
      </w:r>
    </w:p>
    <w:p>
      <w:r>
        <w:t>FR: TF C 327/99 du 8 mai 2000</w:t>
      </w:r>
    </w:p>
    <w:p>
      <w:r>
        <w:t>IT: TF C 327/99 del 8 maggio 2000</w:t>
      </w:r>
    </w:p>
    <w:p>
      <w:pPr>
        <w:pStyle w:val="Heading2"/>
      </w:pPr>
      <w:r>
        <w:t>Regeste</w:t>
      </w:r>
    </w:p>
    <w:p>
      <w:r>
        <w:t>Arbeitslosenversicherung</w:t>
      </w:r>
    </w:p>
    <w:p>
      <w:pPr>
        <w:pStyle w:val="Heading2"/>
      </w:pPr>
      <w:r>
        <w:t>Erwägungen</w:t>
      </w:r>
    </w:p>
    <w:p>
      <w:r>
        <w:rPr>
          <w:b/>
        </w:rPr>
        <w:t>E. 24</w:t>
      </w:r>
    </w:p>
    <w:p>
      <w:r>
        <w:t>März 1997 bzw. 11. April 1997 einen Anspruch auf Insol- venzentschädigung, da der Antrag nicht rechtzeitig gestellt worden sei. B.- Die hiegegen erhobene Beschwerde, mit welcher E.________ die Ausrichtung einer Insolvenzentschädigung in der Höhe von Fr. 1254.20 beantragte, wies das Sozialversi- cherungsgericht des Kantons Zürich mit Entscheid vom</w:t>
      </w:r>
    </w:p>
    <w:p>
      <w:r>
        <w:rPr>
          <w:b/>
        </w:rPr>
        <w:t>E. 27</w:t>
      </w:r>
    </w:p>
    <w:p>
      <w:r>
        <w:t>August 1999 ab. C.- Mit Verwaltungsgerichtsbeschwerde erneuert E.________ das Begehren um Zusprechung der Insolvenzent- schädigung. Die Arbeitslosenkasse verzichtet auf eine Stellungnah- me. Das Staatssekretariat für Wirtschaft hat sich nicht vernehmen lassen. Das Eidg. Versicherungsgericht zieht in Erwägung: 1.- Die Vorinstanz hat die massgebenden gesetzlichen Bestimmungen und Grundlagen über die Geltendmachung des An- spruchs auf Insolvenzentschädigung ( Art. 53 Abs. 1 AVIG ; Art. 77 AVIV ) und die Folge verspäteter Antragstellung ( Art. 53 Abs. 3 AVIG ) zutreffend wiedergegeben. 2.- Die Konkurseröffnung über die Arbeitgeberfirma wurde am... Oktober 1996 im SHAB publiziert. Das kantonale Gericht ist davon ausgegangen, die Geltendmachung des An- spruchs auf Insolvenzentschädigung sei nachweislich erst am 5. März 1997 und somit verspätet erfolgt. An diesem Ergeb- nis vermögen die Ausführungen in der Verwaltungsgerichtsbe- schwerde nichts zu ändern. In Ergänzung zum vorinstanzli- chen Entscheid ist jedoch darauf hinzuweisen, dass dem Be- schwerdeführer vorliegend aus seinem Arbeitsverhältnis mit der X.________ AG aus einem aussergerichtlichen Vergleich eine Forderung gegen die ehemalige Arbeitgeberin im Betrag von Fr. 1254.20 zustand (Verfügung des Arbeitsgerichts Zürich vom 13. Mai 1996). Diese Forderung gab er am 7. Au- gust 1996 im Konkurs über die Firma ein. Nach Einstellung des Konkurses mangels Aktiven am... Oktober 1996 ersuchte der Beschwerdeführer das Arbeitsamt N.________ mit Schrei- ben vom 10. November 1996 um Einforderung des ausstehenden Betrages bei der Arbeitslosenkasse in Winterthur. Könnte dieses Schreiben als Geltendmachung des Anspruchs auf In- solvenzentschädigung qualifiziert werden, würde die Ein- reichung bei einer unzuständigen Behörde dem Beschwerde- führer nicht schaden. Vielmehr käme auch hier der allgemei- ne Rechtsgrundsatz des Sozialversicherungsrechts zur Anwen- dung, wonach eine Frist als gewahrt gilt, wenn die Partei rechtzeitig an eine unzuständige Behörde gelangt (BGE 114 V 50 Erw. 4; ARV 1991 Nr. 16 S. 119; vgl. auch Thomas Nuss- baumer, Arbeitslosenversicherung, in: Schweizerisches Bun- desverwaltungsrecht (SBVR), Bd. Soziale Sicherheit, Rz 518). Entgegen der Auffassung des Beschwerdeführers liegt jedoch beim Schreiben vom 10. November 1996 keinesfalls ein formgerechter, nicht einmal ein formloser Antrag auf Insol- venzentschädigung vor, sodass für das Arbeitsamt weder An- lass zur Ansetzung einer Frist zur Vervollständigung noch zur Weiterleitung an die Arbeitslosenkasse bestand. Mit der Vorinstanz ist daher davon auszugehen, dass ein Anspruch auf Insolvenzentschädigung erst am 5. März 1997 und somit verspätet geltend gemacht worden ist. Demnach erkennt das Eidg. Versicherungsgericht: I. Die Verwaltungsgerichtsbeschwerde wird abgewiesen. II. Es werden keine Gerichtskosten erhoben. III. Dieses Urteil wird den Parteien, dem Sozialversi- cherungsgericht des Kantons Zürich und dem Staats- sekretariat für Wirtschaft zugestellt. Luzern, 8. Mai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