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C_321/1999 vom 20. April 2001</w:t>
      </w:r>
    </w:p>
    <w:p>
      <w:r>
        <w:t>Bundesgericht, 2001-04-20, DE</w:t>
      </w:r>
    </w:p>
    <w:p>
      <w:r>
        <w:rPr>
          <w:b/>
        </w:rPr>
        <w:t xml:space="preserve">Quelle: </w:t>
      </w:r>
      <w:r>
        <w:t>https://mcp.opencaselaw.ch/entscheid/bger_C_321_1999</w:t>
      </w:r>
    </w:p>
    <w:p>
      <w:r>
        <w:t>FR: TF C_321/1999 du 20 avril 2001</w:t>
      </w:r>
    </w:p>
    <w:p>
      <w:r>
        <w:t>IT: TF C_321/1999 del 20 aprile 2001</w:t>
      </w:r>
    </w:p>
    <w:p>
      <w:pPr>
        <w:pStyle w:val="Heading2"/>
      </w:pPr>
      <w:r>
        <w:t>Erwägungen</w:t>
      </w:r>
    </w:p>
    <w:p>
      <w:r>
        <w:rPr>
          <w:b/>
        </w:rPr>
        <w:t>E. 1</w:t>
      </w:r>
    </w:p>
    <w:p>
      <w:r>
        <w:t>Die Beschwerdeführerin beantragt die Vereinigung der Prozesse C 321/99 und C 322/99. Obschon beiden Verfahren identische Verwaltungsgerichtsbeschwerden der gleichen Arbeitslosenkasse zu Grunde liegen, welche sich gegen zwei gleichentags ergangene, übereinstimmende kantonale Entscheide richten, und sich die gleichen Rechtsfragen stellen, ist auf eine Verfahrensvereinigung zu verzichten, weil die Beschwerdegegner nicht identisch sind ( BGE 123 V 215 Erw. 1, 120 V 466 Erw. 1 mit Hinweisen; Poudret, Commentaire de la loi fédérale d'organisation judiciaire, Bd. 1, S. 343 unten f.).</w:t>
      </w:r>
    </w:p>
    <w:p>
      <w:r>
        <w:rPr>
          <w:b/>
        </w:rPr>
        <w:t>E. 2</w:t>
      </w:r>
    </w:p>
    <w:p>
      <w:r>
        <w:t>Im letztinstanzlichen Verfahren ist zu Recht unbestritten, dass das kantonale Gericht auf die nicht formgerecht eingereichten Beschwerden von G.F.________, I.O.________ und R.H.________ nicht eingetreten ist.</w:t>
      </w:r>
    </w:p>
    <w:p>
      <w:r>
        <w:t>Streitig und zu prüfen ist, ob die übrigen Beschwerdegegner nach Massgabe von Art. 51 Abs. 1 lit. a AVIG Anspruch auf Insolvenzentschädigung haben. Unter den Parteien besteht Uneinigkeit darüber, ob ein Betriebsübergang im Sinne von Art. 333 OR vorliegt und, bejahendenfalls, ob die damit verbundene solidarische Haftung der Erwerberin für die Lohnforderungen aus den Arbeitsverhältnissen zwischen der Veräusserin und den Arbeitnehmern den Anspruch auf Insolvenzentschädigung ausschliesst. Umstritten sind somit die Auswirkungen des Art. 333 OR auf die insolvenzentschädigungsrechtliche Ordnung.</w:t>
      </w:r>
    </w:p>
    <w:p>
      <w:r>
        <w:rPr>
          <w:b/>
        </w:rPr>
        <w:t>E. 3</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vom 1. Januar 1996 bis 31. August 1999 geltenden, vorliegend anwendbaren Fassung) Lohnforderungen für die letzten sechs Monate des Arbeitsverhältnisses, für jeden Monat jedoch nur bis zum Höchstbetrag nach Artikel 3 Absatz 1; als Lohn gelten auch die geschuldeten Zulagen.</w:t>
      </w:r>
    </w:p>
    <w:p>
      <w:r>
        <w:t>b) Der gesetzliche Zweck der Insolvenzentschädigung besteht im Schutz der Lohnguthaben der Arbeitnehmer und in der Sicherstellung des Lebensunterhaltes der Arbeitnehmer im Konkursfall des Arbeitgebers (BBl 1980 III 534 f. und 606; BGE 114 V 58 Erw. 3c). Diesem Zweck entsprechend können nur effektive Lohnansprüche, welche von der versicherten Person zumindest glaubhaft zu machen sind ( Art. 74 AVIV ), Gegenstand des Anspruchs auf Insolvenzentschädigung bilden (ARV 1998 Nr. 12 S. 62 Erw. 3a).</w:t>
      </w:r>
    </w:p>
    <w:p>
      <w:r>
        <w:t>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allgemeinen Schadenminderungspflicht - im Konkurs- oder Pfändungsverfahren alles unternehmen, um ihre Ansprüche gegenüber den Arbeitgebern zu wahren ( Art. 55 Abs. 1 Satz 1 AVIG ; BGE 114 V 59 Erw. 3d; ARV 1999 Nr. 24 S. 142 f. Erw. 1c).</w:t>
      </w:r>
    </w:p>
    <w:p>
      <w:r>
        <w:rPr>
          <w:b/>
        </w:rPr>
        <w:t>E. 4</w:t>
      </w:r>
    </w:p>
    <w:p>
      <w:r>
        <w:t>a) Nach Art. 333 Abs. 1 OR geht das Arbeitsverhältnis mit allen Rechten und Pflichten mit dem Tage der</w:t>
      </w:r>
    </w:p>
    <w:p>
      <w:r>
        <w:t>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w:t>
      </w:r>
    </w:p>
    <w:p>
      <w:r>
        <w:t>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Nr. 77/187/EWG des Rates vom 14. Februar 1977 zur Angleichung der Rechtsvorschriften der Mitgliedstaaten über die Wahrung von Ansprüchen der Arbeitnehmer beim Übergang von Unternehmen, Betrieben oder Betriebsteilen (ABl. Nr. L 61 vom 5. März 1977 S. 26 ff.; modifiziert durch die Richtlinie Nr. 98/50/EG des Rates vom 29. Juni 1998 [ABl. Nr. L 201 vom 17. Juli 1998])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Staehelin, Zürcher Kommentar, N 1 zu Art. 333 OR ; Rehbinder, Berner Kommentar, N 2 zu Art. 333 OR ; Michael E. Winkler, Unternehmensumwandlungen und ihre Auswirkungen auf Arbeitsverträge, Diss. Zürich 2000, S. 29 f.; Wolfgang Portmann, Individualarbeitsrecht, Zürich 2000, S. 182 Rz 839; Brunner/Bühler/Waeber, Kommentar zum Arbeitsvertragsrecht, N 3 zu Art. 333; Brühwiler, Kommentar zum Einzelarbeitsvertrag, 2. Aufl. , Bern 1996, N 1 zu Art. 333 OR ; vgl. auch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w:t>
      </w:r>
    </w:p>
    <w:p>
      <w:r>
        <w:t>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w:t>
      </w:r>
    </w:p>
    <w:p>
      <w:r>
        <w:t>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1998 S. 1417 ff.; Winkler, a.a.O., S. 103 ff. mit Hinweisen einerseits auf die in der Literatur vorgeschlagenen Lösungsansätze zur einschränkenden Anwendung von Art. 333 OR und anderseits auf die Auswirkungen der neuen Betriebsübergangsrichtlinie 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Gasser/Eggenberger, Vorentwurf zu einem Fusionsgesetz - Grundzüge und ausgewählte Einzelfragen, in: AJP 1998 S. 457 ff., insbesondere S. 470 f.).</w:t>
      </w:r>
    </w:p>
    <w:p>
      <w:r>
        <w:rPr>
          <w:b/>
        </w:rPr>
        <w:t>E. 5</w:t>
      </w:r>
    </w:p>
    <w:p>
      <w:r>
        <w:t>a) Das kantonale Gericht hat die Frage offen gelassen, ob im vorliegenden Fall ein Betriebsübergang im Sinne von Art. 333 Abs. 1 OR gegeben sei. Die Regelung nach Art. 333 OR und das Institut der Insolvenzentschädigung würden nebeneinander stehen, weshalb Arbeitnehmer, unabhängig davon, ob eine Betriebsübernahme stattgefunden habe, Anspruch auf Insolvenzentschädigung hätten, sofern die Voraussetzungen gemäss Art. 51 ff. AVIG gegeben seien. Mache der Arbeitnehmer Lohnforderungen gegenüber dem bisherigen Arbeitgeber geltend und würden diese wegen Insolvenz nicht erfüllt, so bestehe Anspruch auf Insolvenzentschädigung. Die mit Art. 333 OR privatrechtlich eingeräumte Wahlfreiheit werde durch die öffentlich-rechtliche Regelung der Art. 51 ff. AVIG nicht eingeschränkt. Eine solche Einschränkung müsste im AVIG ausdrücklich geregelt sein, was nicht der Fall sei. Bei Zweifeln über Ansprüche aus Arbeitsvertrag sei die Arbeitslosenversicherung in analoger Anwendung von Art. 29 AVIG vorleistungspflichtig. Gegen mögliche Missbräuche stünden ihr gegenüber der konkursiten Gesellschaft die paulianischen Anfechtungsklagen der Art. 285 ff. SchKG zur Verfügung.</w:t>
      </w:r>
    </w:p>
    <w:p>
      <w:r>
        <w:t>b) Die Arbeitslosenkasse ist der Ansicht, es lasse sich ohne Klärung der Bedeutung eines vor Eröffnung des Konkurses über den vorherigen Arbeitgeber erfolgten Betriebsüberganges für den Anspruch auf Insolvenzentschädigung nicht entscheiden, ob es der Schutzzweck der Insolvenzentschädigung und die Ordnung gemäss Art. 333 OR zuliessen, unter dem Begriff des Arbeitgebers gemäss Art. 51 Abs. 1 AVIG ungeachtet eines Betriebsüberganges auch den ehemaligen Arbeitgeber zu erfassen. Das kantonale Gericht verkenne die Absichten des Gesetzgebers, die einer sachgerechten Auslegung von Art. 333 OR zu Grunde zu legen seien.</w:t>
      </w:r>
    </w:p>
    <w:p>
      <w:r>
        <w:t>c) Im Ergebnis - so seco und Arbeitslosenkasse - führe die Auffassung der Vorinstanz dazu, dass Art. 333 OR weitgehend seines Anwendungsbereiches beraubt und die im Wirtschaftsleben bereits vielfach praktizierte Methode gewahrt bleibe, sich durch entsprechende Rechtsgestaltungen der Lohnzahlungspflicht zu entledigen und Lohnkosten wirksam der Sozialversicherung zu überbinden ("Sozialisierung" von Lohnkosten). Der Wortlaut des Art. 51 Abs. 1 lit. a AVIG schliesse aus, den Veräusserer eines Betriebs, über den nach erfolgtem Betriebsübergang der Konkurs eröffnet wird, weiterhin als Arbeitgeber im Sinne jener Bestimmung zu betrachten, weil er nicht mehr als Arbeitgeber aus dem Arbeitsverhältnis weiterhafte, sondern lediglich auf Grund der gesetzlichen Solidarität als Solidarschuldner.</w:t>
      </w:r>
    </w:p>
    <w:p>
      <w:r>
        <w:t>d) Das seco führt an, die Insolvenzentschädigung gewährleiste keine voraussetzungslose Rückversicherung für die Lohnforderungen der Arbeitnehmer gegenüber jedem beliebigen Schuldner. Insofern der Arbeitnehmer von einer Durchsetzung seiner Lohnforderung gegenüber dem Arbeitgeber auf dem Weg der Zwangsvollstreckung absehe, erweise sich die Insolvenzentschädigung als subsidiär. In Fällen, in welchen zum Zweck einer Sanierung eine Betriebsübernahme erfolge und über den vormaligen Arbeitgeber der Konkurs herbeigeführt werde, könne das Ziel der Vermeidung einer missbräuchlichen Abwälzung von Lohnkosten auf die Gemeinschaft der Versicherten nur über eine sach- und zweckgerechte Auslegung und Anwendung der gesetzlichen Anspruchsvoraussetzungen erreicht werden. Die Tatsache, dass dem Arbeitnehmer bei einem Betriebsübergang in der Person des Erwerbers ein neuer, solventer Schuldner und Arbeitgeber gegenüberstehe, schliesse den Anspruch auf Insolvenzentschädigung aus (so auch Lorandi, a.a.O. S. 117, der meint, solange der Arbeitnehmer von einer zwangsvollstreckungsrechtlichen Durchsetzung seiner Lohnforderung gegenüber dem Betriebsübernehmer absehe, erweise sich die Insolvenzentschädigung als subsidiär). Durch den automatischen Übergang des Arbeitsverhältnisses erhielten die Arbeitnehmer für alle ausstehenden Forderungen einen neuen Schuldner und würden dadurch vom Gläubigerrisiko, mit ihren ungedeckten Lohnforderungen infolge Insolvenz des ehemaligen Arbeitgebers auszufallen, befreit. Dieser Bestandesschutz des Arbeitsverhältnisses bilde das rechtstechnische Instrument, den Arbeitnehmer bei Zahlungsunfähigkeit des ehemaligen Arbeitgebers zu schützen. Eine Lohnforderung, die sich wegen Betriebsübergangs primär gegen den Erwerber richte, könne nicht mehr wegen Konkurses des vormaligen Arbeitgebers im Sinne von Art. 51 AVIG insolvenzbedingt ausfallen, weil der Arbeitgeber weggefallen sei.</w:t>
      </w:r>
    </w:p>
    <w:p>
      <w:r>
        <w:t>e) Die Beschwerdegegner machen im Wesentlichen geltend, das Gesetzmässigkeitsprinzip werde verletzt, wenn die Verwaltung als Folge der Änderung einer Privatrechtsbestimmung auf dem Weg einer restriktiveren - wirtschaftspolitisch motivierten - Auslegung des Art. 51 Abs. 1 AVIG Leistungseinschränkungen vornehme, welche das Gesetz nicht kenne. Soweit die Verwaltung der Meinung sei, infolge der Änderung von Art. 333 OR sei eine neue Rechtslage geschaffen worden, welche die Frage der Reform der Anspruchsvoraussetzungen gemäss Art. 51 AVIG aufdränge, so sei dafür der erforderliche Gesetzgebungsprozess einzuleiten. Art. 51 AVIG kenne kein Anspruchskriterium "Nichtvorhandensein eines Anspruchs gemäss Art. 333 OR ". Eine vorfrageweise Prüfung eines Anspruchs gemäss Art. 333 OR sei nicht notwendig. Die sozialversicherungsrechtliche Auswirkung von Art. 333 OR bestehe darin, dass der Arbeitslosenkasse nach der Subrogation gemäss Art. 54 AVIG neu zwei Schuldner zur Verfügung stünden. Geändert hätten sich nicht die arbeitslosenversicherungsrechtlichen Anspruchsvoraussetzungen, sondern die privatrechtlichen Grundlagen für den Regress der Kasse. Schliesslich sei die Auslegung der Verwaltung, wonach mit dem Betriebsübergang der Arbeitgeber gemäss Art. 51 Abs. 1 AVIG weggefallen sein solle, gesetzwidrig und verletze die Rechtsgleichheit.</w:t>
      </w:r>
    </w:p>
    <w:p>
      <w:r>
        <w:rPr>
          <w:b/>
        </w:rPr>
        <w:t>E. 6</w:t>
      </w:r>
    </w:p>
    <w:p>
      <w:r>
        <w:t>a) Arbeitnehmerschutzrechtliche Bestimmungen müssen gerade dann greifen, wenn die Gesetze des Marktes unternehmerische Entscheidungen verlangen (so BGE 116 Ib 276 Erw. 4b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w:t>
      </w:r>
    </w:p>
    <w:p>
      <w:r>
        <w:t>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und dem Betriebserwerber geltend machen kann (so auch Winkler, a.a.O., S. 99; anderer Meinung: Geiser, Betriebsübernahmen und Massenentlassungen im Zusammenhang mit Zwangsvollstreckungsverfahren, in: Hasenböhler/Schnyder [Hrsg. ], Zivilprozessrecht, Arbeitsrecht, Kolloquium zu Ehren von Professor Adrian Staehelin, Zürich 1997,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w:t>
      </w:r>
    </w:p>
    <w:p>
      <w:r>
        <w:t>Das Sozialversicherungsgericht hat folglich im Rahmen der Beurteilung des Anspruchs auf Insolvenzentschädigung nicht zu prüfen (auch nicht vorfrageweise; vgl. dazu BGE 120 V 382 Erw. 3a mit Hinweisen), ob die Voraussetzungen des Art. 333 OR erfüllt sind.</w:t>
      </w:r>
    </w:p>
    <w:p>
      <w:r>
        <w:t>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w:t>
      </w:r>
    </w:p>
    <w:p>
      <w:r>
        <w:t>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Bd.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 Art. 29 Abs. 1 und 2 AVIG bestätigen für den vorliegenden Fall somit sinngemäss, dass die Arbeitnehmer ihren Anspruch auf Insolvenzentschädigung unabhängig davon, ob ein Betriebsübergang stattgefunden hat, geltend machen können.</w:t>
      </w:r>
    </w:p>
    <w:p>
      <w:r>
        <w:t>d) Die Verwaltung berücksichtigt bei ihrer Argumentation ferner die Tatsache zu wenig, dass sich die meisten Arbeitnehmer auf Grund ihrer sozial schwachen Stellung dazu gezwungen sehen, ihre Arbeitskraft den Übernehmern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w:t>
      </w:r>
    </w:p>
    <w:p>
      <w:r>
        <w:t>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von der Arbeitslosenkasse befürchteten missbräuchlichen Abwälzung von Lohnkosten auf die Versichertengemeinschaft entgegenzutreten (zur rechtsmissbräuchlichen Gesetzesumgehung: BGE 123 V 238 mit Hinweisen), hat die Arbeitslosenversicherung allerdings ihrer Pflicht nachzukommen, ihre Forderungen auf dem Regressweg geltend zu machen ( Art. 54 Abs. 1 Satz 2 AVIG ; BGE 123 V 77 Erw. 2c).</w:t>
      </w:r>
    </w:p>
    <w:p>
      <w:r>
        <w:t>e) Nach dem Gesagten entspricht die Leistungspflicht der Arbeitslosenkasse für die umstrittene Insolvenzentschädigung und das Regressrecht der Verwaltung der geltenden Rechtslage. Wie die Beschwerdegegner zutreffend ausführen, ist es gegebenenfalls Sache des Gesetzgebers, der von der Verwaltung dargelegten und gewünschten Konzeption zur Lösung des Problems der rückständigen Arbeitnehmerforderungen zum Durchbruch zu verhelfen (vgl. die Lösungsvorschläge de lege ferenda von Lorandi, a.a.O. S. 110 ff.).</w:t>
      </w:r>
    </w:p>
    <w:p>
      <w:r>
        <w:rPr>
          <w:b/>
        </w:rPr>
        <w:t>E. 7</w:t>
      </w:r>
    </w:p>
    <w:p>
      <w:r>
        <w:t>Bei diesem Ausgang des Verfahrens braucht nicht geprüft zu werden, wie es sich mit den Kündigungen der Arbeitsverhältnisse verhält. Die Verwaltung vertritt die Auffassung, diese Kündigungen seien aus Anlass der Betriebsübernahme und im Interesse der Erwerberin, somit in Umgehung von Art. 333 OR erfolgt.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8</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Entgegen der Auffassung der Arbeitslosenkasse und des seco gibt es de lege lata weder ein Konkurrenzproblem noch wird die arbeitslosenversicherungsrechtliche durch die arbeitsprivatrechtliche Leistungspflicht verdrängt. Es ist mit anderen Worten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S. 53 Erw. 2). Die Arbeitslosenkasse anderseits kann ihr Regressrecht, das sie zwingend auszuüben hat ( BGE 123 V 77 Erw. 2b), gemäss Art. 54 AVIG gegenüber den bisherigen wie auch gegenüber den neuen Arbeitgebern geltend machen.</w:t>
      </w:r>
    </w:p>
    <w:p>
      <w:r>
        <w:rPr>
          <w:b/>
        </w:rPr>
        <w:t>E. 9</w:t>
      </w:r>
    </w:p>
    <w:p>
      <w:r>
        <w:t>Im vorliegenden Verfahren geht es um die Bewilligung oder Verweigerung von Versicherungsleistungen, weshalb von der Auferlegung von Gerichtskosten abzusehen ist ( Art. 134 OG ).</w:t>
      </w:r>
    </w:p>
    <w:p>
      <w:r>
        <w:t>Dem Prozessausgang entsprechend sind den anwaltlich vertretenen Beschwerdegegnern (J.B.________, N.H.________, R.W.________, A.K.________, P.P.________, C.F.________ und M.S.________) Parteientschädigungen zuzusprechen (Art. 135 in Verbindung mit Art. 159 Abs. 1 OG ). Damit erweist sich das Gesuch von J.B.________ und N.H.________ um unentgeltliche Verbeiständung als gegenstandslos.</w:t>
      </w:r>
    </w:p>
    <w:p>
      <w:r>
        <w:t>Demnach erkennt das Eidg. Versicherungsgericht:</w:t>
      </w:r>
    </w:p>
    <w:p>
      <w:r>
        <w:t>I. Die Verwaltungsgerichtsbeschwerde wird abgewiesen.</w:t>
      </w:r>
    </w:p>
    <w:p>
      <w:r>
        <w:t>II. Es werden keine Gerichtskosten erhoben.</w:t>
      </w:r>
    </w:p>
    <w:p>
      <w:r>
        <w:t>III. Für das Verfahren vor dem Eidgenössischen Versicherungsgericht hat die Öffentliche Arbeitslosenkasse Baselland J.B.________ und N.H.________ eine Parteientschädigung von insgesamt Fr. 5540. 75 (einschliesslich Mehrwertsteuer), R.W.________ eine Parteientschädigung von Fr. 2500. - (einschliesslich Mehrwertsteuer) und A.K.________, P.P.________, C.F.________ und M.S.________ eine Parteientschädigung von insgesamt Fr. 2621. 70 (einschliesslich Mehrwertsteuer) zu bezahlen.</w:t>
      </w:r>
    </w:p>
    <w:p>
      <w:r>
        <w:t>IV. Dieses Urteil wird den Parteien, dem Versicherungsgericht des Kantons Basel-Landschaft, dem Kantonalen Amt für Industrie, Gewerbe und Arbeit Baselland und dem Staatssekretariat für Wirtschaft zugestellt.</w:t>
      </w:r>
    </w:p>
    <w:p>
      <w:r>
        <w:t>Luzern, 20. April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