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31/05 vom 28. Juli 2005</w:t>
      </w:r>
    </w:p>
    <w:p>
      <w:r>
        <w:t>Bundesgericht, 2005-07-28, DE</w:t>
      </w:r>
    </w:p>
    <w:p>
      <w:r>
        <w:rPr>
          <w:b/>
        </w:rPr>
        <w:t xml:space="preserve">Quelle: </w:t>
      </w:r>
      <w:r>
        <w:t>https://mcp.opencaselaw.ch/entscheid/bger_C_31_05</w:t>
      </w:r>
    </w:p>
    <w:p>
      <w:r>
        <w:t>FR: TF C 31/05 du 28 juillet 2005</w:t>
      </w:r>
    </w:p>
    <w:p>
      <w:r>
        <w:t>IT: TF C 31/05 del 28 luglio 2005</w:t>
      </w:r>
    </w:p>
    <w:p>
      <w:pPr>
        <w:pStyle w:val="Heading2"/>
      </w:pPr>
      <w:r>
        <w:t>Regeste</w:t>
      </w:r>
    </w:p>
    <w:p>
      <w:r>
        <w:t>Arbeitslosenversicherung | Arbeitslosenversicherung</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der Beschwerdegegner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dem Beschwerdegegner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 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4207.15, Fr. 4488.85 und Fr. 2238.45 um Lohnzahlungen oder um (rückleistungspflichtige) Darlehen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Der Beschwerdegegner gibt demgegenüber an, durch die Zahlungen seien keine Lohnforderungen gegenüber der konkursiten Arbeitgeberin getilgt worden. Er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 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Daran vermag auch die Tatsache nichts zu ändern, dass die Z.________ GmbH bestätigte, vom Beschwerdegegner Teilrückzahlungen - nach dessen Darstellung im vorinstanzlichen Verfahren das, was er "von der Kasse bekommen" habe - erhalten zu haben.</w:t>
      </w:r>
    </w:p>
    <w:p>
      <w:r>
        <w:rPr>
          <w:b/>
        </w:rPr>
        <w:t>E. 3</w:t>
      </w:r>
    </w:p>
    <w:p>
      <w:r>
        <w:t>Sollte der Beschwerdegegner - wider Erwarten - durch Gerichtsurteil gestützt auf die angeblichen Darlehensverträge zu Zahlungen an die Z.________ GmbH verpflichtet werden, stünde ihm der Weg der Revision nach den Art. 135 in Verbindung mit Art. 136 f. OG offen.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