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310/01 vom 5. März 2002</w:t>
      </w:r>
    </w:p>
    <w:p>
      <w:r>
        <w:t>Bundesgericht, 2002-03-05, DE</w:t>
      </w:r>
    </w:p>
    <w:p>
      <w:r>
        <w:rPr>
          <w:b/>
        </w:rPr>
        <w:t xml:space="preserve">Quelle: </w:t>
      </w:r>
      <w:r>
        <w:t>https://mcp.opencaselaw.ch/entscheid/bger_C_310_01</w:t>
      </w:r>
    </w:p>
    <w:p>
      <w:r>
        <w:t>FR: TF C 310/01 du 5 mars 2002</w:t>
      </w:r>
    </w:p>
    <w:p>
      <w:r>
        <w:t>IT: TF C 310/01 del 5 marzo 2002</w:t>
      </w:r>
    </w:p>
    <w:p>
      <w:pPr>
        <w:pStyle w:val="Heading2"/>
      </w:pPr>
      <w:r>
        <w:t>Regeste</w:t>
      </w:r>
    </w:p>
    <w:p>
      <w:r>
        <w:t>Arbeitslosenversicherung</w:t>
      </w:r>
    </w:p>
    <w:p>
      <w:pPr>
        <w:pStyle w:val="Heading2"/>
      </w:pPr>
      <w:r>
        <w:t>Erwägungen</w:t>
      </w:r>
    </w:p>
    <w:p>
      <w:r>
        <w:rPr>
          <w:b/>
        </w:rPr>
        <w:t>E. 1</w:t>
      </w:r>
    </w:p>
    <w:p>
      <w:r>
        <w:t>Gemäss Art. 8 Abs. 1 lit. g AVIG hat die versicherte Person Anspruch auf Arbeitslosenentschädigung, wenn sie unter anderem die Kontrollvorschriften ( Art. 17 AVIG ) erfüllt. Nach Art. 17 Abs. 2 AVIG muss sie sich möglichst frühzeitig, jedoch spätestens am ersten Tag, für den sie Leistungen nach Art. 7 Abs. 2 lit. a oder b AVIG beansprucht, persönlich beim Arbeitsamt ihres Wohnortes zur Arbeitsvermittlung melden und von da an die Kontrollvorschriften des Bundesrates befolgen.</w:t>
      </w:r>
    </w:p>
    <w:p>
      <w:r>
        <w:rPr>
          <w:b/>
        </w:rPr>
        <w:t>E. 2</w:t>
      </w:r>
    </w:p>
    <w:p>
      <w:r>
        <w:t>Streitig ist, ob ein Anspruch auf Arbeitslosenentschädigung ab 1. Januar bis 31. März 1999 besteht. a) Der Beschwerdeführer macht geltend, er habe die Arbeitslosenkasse von der Tatsache, dass er die Anstellung Anfang Januar nicht angetreten hatte, in der zweiten Woche des Monats Januar 1999 schriftlich in Kenntnis gesetzt. Die Löschung im Kontrollsystem und damit die Abmeldung von der Arbeitsvermittlung habe ihm das RAV nicht mitgeteilt. Demnach habe das RAV die Pflicht verletzt, ihn zu Kontroll- und Beratungsgesprächen aufzubieten, was sich nicht nachteilig auf seinen Anspruch auswirken dürfe. Demgegenüber halten die Kasse und das RAV fest, keine Mitteilung über den Nichtantritt der Arbeitsstelle erhalten zu haben, im Übrigen sei dem Beschwerdeführer ein Computerausdruck der Abmeldung aus dem Kontrollsystem zugestellt worden. b) Bezüglich der Kontrollvorschriften unterscheidet der Gesetzgeber in Art. 17 Abs. 2 AVIG zwischen der Meldepflicht zur Arbeitsvermittlung und der Pflicht, die Kontrollvorschriften (Teilnahme an Beratungs- und Kontrollgesprächen) zu befolgen. Die Erfüllung der Meldepflicht ist eine der Voraussetzungen, damit ein Entschädigungsanspruch entsteht (vgl. Art. 8 Abs. 1 lit. g AVIG ). Der Arbeit suchende Versicherte gilt vor der Anmeldung nicht als arbeitslos ( Art. 10 Abs. 3 AVIG ). Damit korreliert, dass die Arbeitslosigkeit mit der Abmeldung von der Arbeitsvermittlung endet (Thomas Nussbaumer, Arbeitslosenversicherung, in: Schweizerisches Bundesverwaltungsrecht, Soziale Sicherheit, S. 47, Rz. 114). Mit der Bemerkung im Antragsformular vom 8. Dezember 1998, am 1. Januar 1999 eine neue Beschäftigung aufzunehmen, meldete sich der Beschwerdeführer von der Arbeitsvermittlung ab und galt von jenem Zeitpunkt an nicht mehr als arbeitslos bis zur Vorsprache im RAV am 12. April 1999. Die Einwendung, er habe das RAV frühzeitig darüber, dass er die Anstellung Anfang Januar nicht angetreten hatte, in Kenntnis gesetzt, ist nicht mit dem im Sozialversicherungsrecht üblichen Beweisgrad der überwiegenden Wahrscheinlichkeit erstellt. Auch den vor April 1999 erfolgten Eingaben des Beschwerdeführers bzw. seines Anwalts kann nicht entnommen werden, dass der Versicherte nicht bei der B.________ AG arbeitete. Der Beschwerdeführer kann sich demnach nicht darauf berufen, zu keinem Kontrollgespräch vorgeladen worden zu sein. Dass er sich bemüht habe, Arbeit zu finden, vermag im Hinblick auf die erfolgte Abmeldung von der Arbeitsvermittlung keinen Leistungsanspruch zu begründen. c) Nachdem feststeht, dass mangels Erfüllung der Meldepflicht kein Entschädigungsanspruch besteht, kann die Frage einer allfälligen Verwirkung offen bleiben. Demnach erkennt das Eidg. Versicherungsgericht: I. Die Verwaltungsgerichtsbeschwerde wird abgewiesen. II. Es werden keine Gerichtskosten erhoben. III. Dieses Urteil wird den Parteien, dem Sozialversicherungsgericht des Kantons Zürich, dem Amt für Wirtschaft und Arbeit, Arbeitslosenversicherung, Zürich, und dem Staatssekretariat für Wirtschaft zugestellt. Luzern, 5. März 2002 Im Namen des Eidgenössischen Versicherungsgerichts Die Präsidentin der IV.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