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309/01 vom 16. September 2002</w:t>
      </w:r>
    </w:p>
    <w:p>
      <w:r>
        <w:t>Bundesgericht, 2002-09-16, FR</w:t>
      </w:r>
    </w:p>
    <w:p>
      <w:r>
        <w:rPr>
          <w:b/>
        </w:rPr>
        <w:t xml:space="preserve">Quelle: </w:t>
      </w:r>
      <w:r>
        <w:t>https://mcp.opencaselaw.ch/entscheid/bger_C_309_01</w:t>
      </w:r>
    </w:p>
    <w:p>
      <w:r>
        <w:t>FR: TF C 309/01 du 16 septembre 2002</w:t>
      </w:r>
    </w:p>
    <w:p>
      <w:r>
        <w:t>IT: TF C 309/01 del 16 settembre 2002</w:t>
      </w:r>
    </w:p>
    <w:p>
      <w:pPr>
        <w:pStyle w:val="Heading2"/>
      </w:pPr>
      <w:r>
        <w:t>Regeste</w:t>
      </w:r>
    </w:p>
    <w:p>
      <w:r>
        <w:t>Assurance-chômage</w:t>
      </w:r>
    </w:p>
    <w:p>
      <w:pPr>
        <w:pStyle w:val="Heading2"/>
      </w:pPr>
      <w:r>
        <w:t>Erwägungen</w:t>
      </w:r>
    </w:p>
    <w:p>
      <w:r>
        <w:rPr>
          <w:b/>
        </w:rPr>
        <w:t>E. 1</w:t>
      </w:r>
    </w:p>
    <w:p>
      <w:r>
        <w:t>La décision administrative litigieuse a été rendue avant l'entrée en vigueur (le 1er juin 2002) de l'Accord du 21 juin 1999 entre la Confédération suisse, d'une part, et la Communauté européenne et ses Etats membres, d'autre part, sur la libre circulation des personnes. Celui-ci, en particulier son Annexe II, qui règle la coordination des systèmes de sécurité sociale, ne s'applique dès lors pas à la présente procédure (arrêt S. du 9 août 2002 prévu pour la publication, C 357/01, consid. 1). Il en va de même des modifications de la LACI introduites le 1er juin 2002 en raison de l'entrée en vigueur de cet accord (loi fédérale du 8 octobre 1999; RO 2002 719 ss) ainsi que des modifications prévues par la loi fédérale du 14 décembre 2001 relative aux dispositions concernant la libre circulation des personnes de l'Accord du 21 juin 2001 amendant la Convention du 4 janvier 1960 instituant l'Association européenne de libre-échange (AELE) (RO 2002 699 sv.).</w:t>
      </w:r>
    </w:p>
    <w:p>
      <w:r>
        <w:rPr>
          <w:b/>
        </w:rPr>
        <w:t>E. 2</w:t>
      </w:r>
    </w:p>
    <w:p>
      <w:r>
        <w:t>Aux termes de l' art. 8 al. 1 let . e LACI, les assurés n'ont droit à l'indemnité de chômage que s'ils remplissent les conditions relatives à la période de cotisation ou en sont libérés. Cette seconde éventualité est remplie, notamment, s'ils sont contraints d'exercer une activité salariée ou de l'étendre par suite de séparation de corps ou de divorce, d'invalidité ou de mort de leur conjoint ou pour des raisons semblables ou pour cause de suppression de leur rente d'invalidité. Ils ne sont toutefois pas libérés lorsque l'événement en question remonte à plus d'une année ( art. 14 al. 2 LACI , tel qu'en vigueur jusqu'au 31 mai 2002; RO 1982 2189). Par ailleurs, les Suisses de retour au pays après un séjour de plus d'un an à l'étranger sont libérés des conditions relatives à la période de cotisation durant une année, à condition qu'ils justifient de l'exercice d'une activité salariée à l'étranger ( art. 14 al. 3 LACI , tel qu'en vigueur jusqu'au 31 mai 2002; RO 1982 2189).</w:t>
      </w:r>
    </w:p>
    <w:p>
      <w:r>
        <w:rPr>
          <w:b/>
        </w:rPr>
        <w:t>E. 3</w:t>
      </w:r>
    </w:p>
    <w:p>
      <w:r>
        <w:t>Les premiers juges ont admis à juste titre - les parties ne le contestent du reste pas -, que l'intimée ne remplissait pas les conditions relatives à la période de cotisation et qu'elle ne justifiait pas de l'exercice d'une activité salariée à l'étranger, dans la mesure où elle y travaillait en qualité d'indépendante. Ils ont ensuite considéré qu'elle était libérée des conditions relatives à la période de cotisation, au motif qu'elle avait été contrainte, ensuite de son divorce, d'abandonner l'activité indépendante exercée aux côtés de son ex-époux pour rechercher un emploi salarié. Toutefois, comme le soutient la recourante, une libération des conditions relatives à la période de cotisation n'est possible que s'il existe un lien de causalité non seulement entre le motif invoqué et la nécessité de prendre ou d'augmenter une activité lucrative, mais aussi entre ce motif de libération et l'absence de durée minimale de cotisation (SVR 2000 ALV no 15 p. 42, consid. 6d non publié dans l' ATF 124 V 400 ). L' art. 14 al. 2 LACI ne vise ainsi que les situations où l'intéressé a été empêché d'accomplir une période minimale de cotisation parce qu'il s'est consacré exclusivement à la tenue du ménage et au confort domestique de sa famille; ne peut en revanche pas s'en prévaloir celui qui, à l'instar de l'intimée, n'a pas exercé d'activité salariée parce qu'il exerçait une activité indépendante en compagnie de son ex-conjoint (cf. ATF 125 V 125 sv. consid. 2c.; consid. 6d non publié dans l' ATF 124 V 400 ). Aussi le motif de libération retenu par les premiers juges ne peut-il être admis en l'espèce. Comme aucun autre motif de libération n'entre en considération, le recours est bien fondé.</w:t>
      </w:r>
    </w:p>
    <w:p>
      <w:r>
        <w:rPr>
          <w:b/>
        </w:rPr>
        <w:t>E. 4</w:t>
      </w:r>
    </w:p>
    <w:p>
      <w:r>
        <w:t>La procédure est gratuite, dès lors qu'elle porte sur l'octroi ou le refus de prestations d'assurances ( art. 134 OJ ). Par ailleurs, l'intimée, qui succombe, ne peut prétendre de dépens ( art. 159 OJ ). Il convient cependant de lui accorder l'assistance judiciaire, dans la mesure où ses moyens ne lui permettent pas d'assumer ses frais de défense et où l'assistance d'un avocat était indiquée ( art. 152 OJ , en relation avec l' art. 135 OJ ; cf. également ATF 125 V 202 consid. 4a, 372 consid. 5b et les références). L'intimée est rendue attentive au fait qu'elle devra rembourser la caisse du tribunal si elle devient ultérieurement en mesure de le faire ( art. 152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