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303/00 vom 31. Juli 2001</w:t>
      </w:r>
    </w:p>
    <w:p>
      <w:r>
        <w:t>Bundesgericht, 2001-07-31, DE</w:t>
      </w:r>
    </w:p>
    <w:p>
      <w:r>
        <w:rPr>
          <w:b/>
        </w:rPr>
        <w:t xml:space="preserve">Quelle: </w:t>
      </w:r>
      <w:r>
        <w:t>https://mcp.opencaselaw.ch/entscheid/bger_C_303_00</w:t>
      </w:r>
    </w:p>
    <w:p>
      <w:r>
        <w:t>FR: TF C 303/00 du 31 juillet 2001</w:t>
      </w:r>
    </w:p>
    <w:p>
      <w:r>
        <w:t>IT: TF C 303/00 del 31 luglio 2001</w:t>
      </w:r>
    </w:p>
    <w:p>
      <w:pPr>
        <w:pStyle w:val="Heading2"/>
      </w:pPr>
      <w:r>
        <w:t>Regeste</w:t>
      </w:r>
    </w:p>
    <w:p>
      <w:r>
        <w:t>Arbeitslosenversicherung</w:t>
      </w:r>
    </w:p>
    <w:p>
      <w:pPr>
        <w:pStyle w:val="Heading2"/>
      </w:pPr>
      <w:r>
        <w:t>Erwägungen</w:t>
      </w:r>
    </w:p>
    <w:p>
      <w:r>
        <w:rPr>
          <w:b/>
        </w:rPr>
        <w:t>E. 21</w:t>
      </w:r>
    </w:p>
    <w:p>
      <w:r>
        <w:t>November 1999 nicht anspruchsberechtigt war, ist demgegenüber für die Kasse verbindlich ( BGE 126 V 401 f. Erw. 2b/cc). b)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126 V 23 Erw. 4b, 46 Erw. 2b, 125 V 389 Erw. 3, je mit Hinweisen).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126 V 24 Erw. 4b, 46 Erw. 2b, je mit Hinweisen). c) Ernsthafte Zweifel daran, dass der Beschwerdeführer in der Schweiz wohne, kamen erstmals auf, als der Arbeitslosenkasse Ende September 1999 das an den Beschwerdeführer an eine Adresse in Frankreich gerichtete Schreiben einer dortigen Behörde vorgelegt wurde. Vor der Einleitung der entsprechenden Nachforschungen am 19. Oktober 1999 war der Verwaltung lediglich bekannt, dass "ein Kind" des Beschwerdeführers in Frankreich wohne, während von der Mutter dieses Kindes ebenso wenig die Rede war wie von den undurchsichtigen Wohnverhältnissen an der Strasse A.________. Die anschliessend getätigten Abklärungen führten zum Ergebnis, dass der Beschwerdeführer während des relevanten Zeitraums nicht in der Schweiz wohnte. Damit hat die Arbeitslosenkasse eine neue Tatsache entdeckt, die ohne weiteres geeignet war, zu einer anderen Beurteilung der Anspruchsberechtigung des Beschwerdeführers auf Taggelder der Arbeitslosenversicherung zu führen. Unter diesen Umständen waren die Voraussetzungen für eine prozessuale Revision gegeben, und es lag ein Rückkommenstitel vor, auf Grund dessen die Arbeitslosenkasse befugt war, auf die geleistete Taggeldzahlung zurückzukommen und zu Unrecht bezogene Leistungen zurückzufordern. 6.- 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II.Es werden keine Gerichtskosten erhoben. III. Zufolge Gewährung der unentgeltlichen Verbeiständung wird Advokatin Kathrin Bichsel, Basel, für das Verfahren vor dem Eidgenössischen Versicherungsgericht aus der Gerichtskasse eine Entschädigung (einschliesslich Mehrwertsteuer) von Fr. 2500.- ausgerichtet. IV.Dieses Urteil wird den Parteien, der Kantonalen Schiedskommission für Arbeitslosenversicherung Basel- Stadt, dem Kantonalen Amt für Industrie, Gewerbe und Arbeit Basel-Stadt, der Öffentlichen Arbeitslosenkasse Basel-Stadt und dem Staatssekretariat für Wirtschaft zugestellt. Luzern, 31. Juli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