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C_294/2006 vom 3. April 2007</w:t>
      </w:r>
    </w:p>
    <w:p>
      <w:r>
        <w:t>Bundesgericht, 2007-04-03, DE</w:t>
      </w:r>
    </w:p>
    <w:p>
      <w:r>
        <w:rPr>
          <w:b/>
        </w:rPr>
        <w:t xml:space="preserve">Quelle: </w:t>
      </w:r>
      <w:r>
        <w:t>https://mcp.opencaselaw.ch/entscheid/bger_C_294_2006</w:t>
      </w:r>
    </w:p>
    <w:p>
      <w:r>
        <w:t>FR: TF C_294/2006 du 3 avril 2007</w:t>
      </w:r>
    </w:p>
    <w:p>
      <w:r>
        <w:t>IT: TF C_294/2006 del 3 aprile 2007</w:t>
      </w:r>
    </w:p>
    <w:p>
      <w:pPr>
        <w:pStyle w:val="Heading2"/>
      </w:pPr>
      <w:r>
        <w:t>Erwägungen</w:t>
      </w:r>
    </w:p>
    <w:p>
      <w:r>
        <w:rPr>
          <w:b/>
        </w:rPr>
        <w:t>E. 1</w:t>
      </w:r>
    </w:p>
    <w:p>
      <w:r>
        <w:t>Am 1. Januar 2007 ist das Bundesgesetz über das Bundesgericht vom 17. Juni 2005 (BGG) in Kraft getreten (AS 2006 1205, 1243). Mit diesem Gesetz ist die bisherige organisatorische Selbständigkeit des Eidgenössischen Versicherungsgerichts aufgehoben und dieses mit dem Bundesgericht fusioniert worden (Seiler, in: Seiler/von Werdt/Güngerich, Kommentar zum BGG Art. 1 N 4 und Art. 132 N 15 ). Das vorliegende Urteil wird daher durch das Bundesgericht gefällt. Weil der angefochtene Entscheid jedoch vor dem 1. Januar 2007 ergangen ist, richtet sich das Verfahren noch nach dem bis zum 31. Dezember 2006 in Kraft gewesenen Bundesgesetz vom 16. Dezember 1943 über die Organisation der Bundesrechtspflege (OG) (Art. 131 Abs. 1 und 132 Abs. 1 BGG; BGE 132 V 393 E. 1.2 S. 395).</w:t>
      </w:r>
    </w:p>
    <w:p>
      <w:r>
        <w:rPr>
          <w:b/>
        </w:rPr>
        <w:t>E. 2.1</w:t>
      </w:r>
    </w:p>
    <w:p>
      <w:r>
        <w:t>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 1a mit Hinweisen).</w:t>
      </w:r>
    </w:p>
    <w:p>
      <w:r>
        <w:rPr>
          <w:b/>
        </w:rPr>
        <w:t>E. 2.2</w:t>
      </w:r>
    </w:p>
    <w:p>
      <w:r>
        <w:t>Die Eingabe des Versicherten vom 18. Dezember 2006 stellt keine rechtsgenügliche Verwaltungsgerichtsbeschwerde dar. Deshalb machte das Gericht den Beschwerdeführer am 19. Dezember 2006 auf die Formerfordernisse einer Verwaltungsgerichtsbeschwerde aufmerksam und wies zudem ausdrücklich auf die nur innert der Beschwerdefrist noch bestehende Möglichkeit einer Behebung des Mangels hin. Davon ist jedoch kein Gebrauch gemacht worden, indem das Schreiben des Gerichts vom 19. Dezember 2006 unbeantwortet geblieben ist. Liegt damit innert Frist (Art. 106 Abs. 1 in Verbindung mit Art. 132 OG ) keine rechtsgültige Verwaltungsgerichtsbeschwerde vor, ist die Eingabe vom 18. Dezember 2006 zufolge offensichtlicher Unzulässigkeit im Verfahren nach Art. 36a OG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