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291/99 vom 6. Juli 2001</w:t>
      </w:r>
    </w:p>
    <w:p>
      <w:r>
        <w:t>Bundesgericht, 2001-07-06, FR</w:t>
      </w:r>
    </w:p>
    <w:p>
      <w:r>
        <w:rPr>
          <w:b/>
        </w:rPr>
        <w:t xml:space="preserve">Quelle: </w:t>
      </w:r>
      <w:r>
        <w:t>https://mcp.opencaselaw.ch/entscheid/bger_C_291_99</w:t>
      </w:r>
    </w:p>
    <w:p>
      <w:r>
        <w:t>FR: TF C 291/99 du 6 juillet 2001</w:t>
      </w:r>
    </w:p>
    <w:p>
      <w:r>
        <w:t>IT: TF C 291/99 del 6 luglio 2001</w:t>
      </w:r>
    </w:p>
    <w:p>
      <w:pPr>
        <w:pStyle w:val="Heading2"/>
      </w:pPr>
      <w:r>
        <w:t>Regeste</w:t>
      </w:r>
    </w:p>
    <w:p>
      <w:r>
        <w:t>Assurance-chômage</w:t>
      </w:r>
    </w:p>
    <w:p>
      <w:pPr>
        <w:pStyle w:val="Heading2"/>
      </w:pPr>
      <w:r>
        <w:t>Erwägungen</w:t>
      </w:r>
    </w:p>
    <w:p>
      <w:r>
        <w:rPr>
          <w:b/>
        </w:rPr>
        <w:t>E. 1</w:t>
      </w:r>
    </w:p>
    <w:p>
      <w:r>
        <w:t>La décision de la caisse de chômage du 4 mars 1998 - qui détermine l'objet de la contestation (cf. ATF 125 V 414 consid. 1a et les arrêts cités) - porte sur les prestations découlant de la demande d'indemnités du 12 août 1996 et concerne donc les montants versés à ce titre à partir du 7 août 1996 jusqu'au 30 septembre 1997. Cette décision se réfère d'ailleurs explicitement au rapport de contrôle de l'OFDE, qui vise uniquement les prestations versées pour la même période. Dès lors, le point de savoir si le recourant a droit à des indemnités de chômage à partir du 8 novembre 1997, consécutivement au dépôt de sa demande du 14 novembre 1997, n'a pas à être examiné ici. Sur cette question, les conclusions du recours sont irrecevables. Le cas échéant, il appartiendra à la caisse de statuer à ce propos au moyen d'une nouvelle décision.</w:t>
      </w:r>
    </w:p>
    <w:p>
      <w:r>
        <w:rPr>
          <w:b/>
        </w:rPr>
        <w:t>E. 2</w:t>
      </w:r>
    </w:p>
    <w:p>
      <w:r>
        <w:t>Par ailleurs, la décision litigieuse de la caisse est une décision en constatation par laquelle l'administration dénie, rétroactivement au 7 août 1996, le droit du recourant à des prestations de l'assurance-chômage. Une telle décision en constatation doit être examinée à la lumière de la jurisprudence relative à la révocation de décisions par la voie de la reconsidération ou de la révision. En effet, elle remet en cause les décisions, formelles et non formelles (cf. infra consid. 3b) en vertu desquelles l'assuré a perçu des prestations et sous-tend ainsi implicitement une demande de restitution selon l' art. 95 LACI (arrêts non publiés B. du 2 novembre 1999 [C 69/99] et F. du 4 octobre 1999 [C 68/99]).</w:t>
      </w:r>
    </w:p>
    <w:p>
      <w:r>
        <w:rPr>
          <w:b/>
        </w:rPr>
        <w:t>E. 3</w:t>
      </w:r>
    </w:p>
    <w:p>
      <w:r>
        <w:t>a)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122 V 21 consid. 3a, 173 consid. 4a, 271 consid. 2, 368 consid. 3, 121 V 4 consid. 6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122 V 21 consid. 3a, 138 consid. 2c, 173 consid. 4a, 272 consid. 2, 121 V 4 consid. 6 et les références). Ces principes sont aussi applicables lorsque des prestations ont été accordées sans avoir fait l'objet d'une décision formelle et que leur versement a néanmoins acquis force de chose décidée. Il y a force de chose décidée si l'assuré n'a pas, dans un délai d'examen et de réflexion convenable, manifesté son désaccord avec une certaine solution adoptée dans un acte administratif susceptible de recours ( ATF 122 V 369 consid. 3). b) En l'espèce, seules les prestations au titre de mesures préventives au sens des art. 59 ss LACI ont fait l'objet de décisions formelles. En ce qui concerne les indemnités de chômage, on doit admettre que les décomptes y relatifs ont acquis force de chose décidée, du moment que l'assuré ne les a jamais contestés. c) On peut d'emblée exclure que les conditions d'une révision procédurale fussent remplies en l'espèce. En effet, on ne voit pas quels faits ou moyens de preuve nouveaux eussent pu justifier une semblable révision (voir par exemple à ce sujet RAMA 1998 no K 990 p. 253 sv. consid. 3c et les références citées). Reste donc l'éventualité d'une reconsidération au sens de la jurisprudence susmentionnée. d) Selon les premiers juges, qui se sont ralliés à l'argumentation de l'OFDE, le licenciement de l'assuré par X.________, masque en réalité une suspension passagère d'activité de la société. Etant propriétaire et seul dirigeant de X.________ et de Z.________ - qui avaient le même but social - l'assuré pouvait à lui seul décider si un mandat devait être attribué à l'une ou l'autre des sociétés. Il a cessé de travailler au service de X.________ pour concentrer ses activités dans le cadre de Z.________, en attendant une reprise des commandes. Son licenciement, qu'il a lui-même décidé, en avril 1996, procède de sa volonté d'essayer de sauver ces deux sociétés. D'après la jurisprudence,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 art. 31 al. 3 let . c LACI ( ATF 123 V 234 ).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Par exemple, l'administrateur qui est en même temps salarié d'une société anonyme et qui est titulaire de la signature collective à deux, doit être considéré comme appartenant au cercle des personnes visées par l' art. 31 al. 3 let . c LACI, quelle que soit l'étendue de la délégation des tâches et le mode de gestion interne de la société et nonobstant le fait que le président du conseil d'administration détienne 90 pour cent des actions et dispose, quant à lui, de la signature individuelle (DTA 1996 no 10 p. 48). Dans ce sens, il existe donc un étroit parallélisme entre le droit à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résiliation de son contrat, rompt définitivement tout lien avec la société. Dans un cas comme dans l'autre, l'intéressé peut en principe prétendre des indemnités de chômage ( ATF 123 V 238 consid. 7b/bb). e) aa) En l'espèce, rien ne permet d'affirmer, contrairement à ce que retient la caisse dans sa décision, que le recourant a poursuivi une activité au service de X.________, après son licenciement. D'ailleurs, la société était surendettée et l'organe de révision, dans une lettre du 29 juillet 1996, invitait le recourant à aviser le juge, conformément à l' art. 725 CO . En outre, après son licenciement, le recourant n'a pas eu immédiatement une activité -pour laquelle il a annoncé des gains intermédiaires - au service de Z.________, puisque c'est en octobre 1996 qu'il a commencé à travailler pour cette société. Les circonstances de la présente cause diffèrent donc sensiblement de l'état de fait susmentionné, que la jurisprudence assimile à un comportement visant à éluder la loi. En tout cas, l'analogie entre les deux situations n'est pas aussi évidente qu'elle commanderait, sans autre examen, une application de cette jurisprudence dans la présente affaire. bb) D'autre part, selon l' art. 24 al. 1 LACI , est réputé gain intermédiaire tout gain que le chômeur retire d'une activité salariée ou indépendante durant une période de contrôle. Si, pendant une période de contrôle, l'assuré prend une activité indépendante, il a droit à la compensation de sa perte de gain s'il est apte au placement, c'està-dire s'il est prêt à abandonner son activité indépendante pour prendre un emploi salarié qui se présenterait à lui et s'il poursuit des recherches d'emploi dans ce sens (voir p. ex. DTA 1998 no 32 p. 176 consid. 2; Gerhards, Arbeitslosenversicherung: "Stempelferien", Zwischenverdienst und Kurzarbeitsentschädigung für öffentliche Betriebe und Verwaltungen - Drei Streitfragen, RSAS, 1994, p. 344 sv.). Bien que, pendant son chômage, l'assuré ait exercé formellement une activité salariée à temps partiel au service de Z.________, cette activité peut être assimilée, sous l'angle de la réalité économique, à une activité indépendante, puisque l'intéressé était administrateur unique et probablement seul actionnaire de la société. Il n'est pas d'emblée inconcevable de considérer que le gain retiré de cette activité pût être qualifié de gain intermédiaire, comme l'a d'ailleurs retenu le Groupe réclamations de l'office cantonal du travail dans sa décision du 21 septembre 1998. Le recourant a démontré qu'il était apte au placement, ce qui n'a du reste jamais été remis en cause. En effet, non seulement il a régulièrement effectué des recherches d'emploi, mais il a suivi plusieurs cours, avant de travailler pendant plus de quatre mois au service de Y.________. On peut en conclure qu'il était disposé à cesser son activité indépendante (ou quasi indépendante) dès le moment où il trouverait un emploi salarié. f) Dans de telles circonstances, il n'est pas possible d'affirmer que les décisions (formelles et non formelles) par lesquelles le recourant a été mis au bénéfice d'indemnités de chômage et de prestations pour frais de cours, durant la période litigieuse, étaient manifestement erronées. Par conséquent, la caisse n'était pas en droit de les révoquer.</w:t>
      </w:r>
    </w:p>
    <w:p>
      <w:r>
        <w:rPr>
          <w:b/>
        </w:rPr>
        <w:t>E. 4</w:t>
      </w:r>
    </w:p>
    <w:p>
      <w:r>
        <w:t>Le recours de droit administratif, dans la mesure où il est recevable (cf. consid. 1), est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