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283/00 vom 20. April 2001</w:t>
      </w:r>
    </w:p>
    <w:p>
      <w:r>
        <w:t>Bundesgericht, 2001-04-20, DE</w:t>
      </w:r>
    </w:p>
    <w:p>
      <w:r>
        <w:rPr>
          <w:b/>
        </w:rPr>
        <w:t xml:space="preserve">Quelle: </w:t>
      </w:r>
      <w:r>
        <w:t>https://mcp.opencaselaw.ch/entscheid/bger_C_283_00</w:t>
      </w:r>
    </w:p>
    <w:p>
      <w:r>
        <w:t>FR: TF C 283/00 du 20 avril 2001</w:t>
      </w:r>
    </w:p>
    <w:p>
      <w:r>
        <w:t>IT: TF C 283/00 del 20 aprile 2001</w:t>
      </w:r>
    </w:p>
    <w:p>
      <w:pPr>
        <w:pStyle w:val="Heading2"/>
      </w:pPr>
      <w:r>
        <w:t>Regeste</w:t>
      </w:r>
    </w:p>
    <w:p>
      <w:r>
        <w:t>Arbeitslosenversicherung</w:t>
      </w:r>
    </w:p>
    <w:p>
      <w:pPr>
        <w:pStyle w:val="Heading2"/>
      </w:pPr>
      <w:r>
        <w:t>Erwägungen</w:t>
      </w:r>
    </w:p>
    <w:p>
      <w:r>
        <w:rPr>
          <w:b/>
        </w:rPr>
        <w:t>E. 1</w:t>
      </w:r>
    </w:p>
    <w:p>
      <w:r>
        <w:t>Streitig und zu prüfen ist, ob die Beschwerdegegnerin nach Massgabe von Art. 51 Abs. 1 lit. a AVIG Anspruch auf Insolvenzentschädigung hat. Unter den Parteien besteht Uneinigkeit darüber, ob ein Betriebsübergang im Sinne von Art. 333 OR vorliegt und, bejahendenfalls, ob die damit verbundene solidarische Haftung der Erwerberin für die Lohnforderung aus dem Arbeitsverhältnis zwischen der Veräusserin und der Arbeitnehmerin den Anspruch auf Insolvenzentschädigung ausschliesst. Umstritten sind somit die Auswirkungen des Art. 333 OR auf die insolvenzentschädigungsrechtliche Ordnung.</w:t>
      </w:r>
    </w:p>
    <w:p>
      <w:r>
        <w:rPr>
          <w:b/>
        </w:rPr>
        <w:t>E. 2</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ab 1. Januar 1996 geltenden Fassung) Lohnforderungen für die letzten sechs (ab 1. September 1999: vier) Monate des Arbeitsverhältnisses, für jeden Monat jedoch nur bis zum Höchstbetrag nach Artikel 3 Absatz 1; als Lohn gelten auch die geschuldeten Zulagen. 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 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3</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Staehelin, Zürcher Kommentar, N 1 zu Art. 333 OR ; Rehbinder, Berner Kommentar, N 2 zu Art. 333 OR ; Michael E. Winkler, Unternehmensumwandlungen und ihre Auswirkungen auf Arbeitsverträge, Diss. Zürich 2000, S. 29 f.; Wolfgang Portmann, Individualarbeitsrecht, Zürich 2000, S. 182 Rz 839; Brunner/Bühler/Waeber, Kommentar zum Arbeitsvertragsrecht, N 3 zu Art. 333; Brühwiler, Kommentar zum Einzelarbeitsvertrag, 2. Aufl. , Bern 1996, N 1 zu Art. 333 OR ; vgl. auch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 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 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 Eggenberger, Vorentwurf zu einem Fusionsgesetz - Grundzüge und ausgewählte Einzelfragen, in: AJP 1998 S. 457 ff., insbesondere S. 470 f.).</w:t>
      </w:r>
    </w:p>
    <w:p>
      <w:r>
        <w:rPr>
          <w:b/>
        </w:rPr>
        <w:t>E. 4</w:t>
      </w:r>
    </w:p>
    <w:p>
      <w:r>
        <w:t>a) Das kantonale Gericht hat die Frage offen gelassen, ob im vorliegenden Fall ein Betriebsübergang im Sinne von Art. 333 Abs. 1 OR gegeben sei. Massgebend sei der Schutzzweck der Insolvenzentschädigung sowie der Anspruch der Versicherten auf rasche und unbürokratische Auszahlung der geltend gemachten Entschädigung. Es sei Sache der Arbeitslosenkasse, die subrogierte Lohnforderung ( Art. 54 Abs. 1 AVIG ) bei der ehemaligen Arbeitgeberin bzw. bei der mithaftenden Erwerberin geltend zu machen. b) Nach Ansicht des seco ist am 23. August 1999 eine Betriebsübernahme nach Art. 333 OR erfolgt. Bereits am 22. Oktober 1999 sei über die frühere Arbeitgeberin der Konkurs eröffnet worden. Unabhängig vom realisierten Kaufpreis von Fr. 35'000.- sei das Konkursverfahren am 7. Januar 2000 mangels Aktiven eingestellt worden. Es verletze Bundesrecht, dass die offene und privilegierte Lohnforderung der Versicherten im Betrag von lediglich Fr. 3184. 35 für den Monat August 1999, welche weder zur Auszahlung gelangt noch im Übernahmevertrag bzw. im Kaufpreis mitberücksichtigt worden sei, mit diesem wirtschaftlichen Vorgang trotz des vereinnahmten Kaufpreises nun über die Insolvenzentschädigung finanziert werden solle. Im Ergebnis führe die Auffassung der Vorinstanz dazu, dass Art. 333 OR weitgehend seines Anwendungsbereiches beraubt werde und die im Wirtschaftsleben bereits vielfach praktizierte Methode erhalten bleibe, sich durch entsprechende Rechtsgestaltungen der Lohnzahlungspflicht zu entledigen und Lohnkosten wirksam der Sozialversicherung zu überbinden. c) Die Arbeitslosenkasse, welche das Vorliegen einer Betriebsübernahme nach Art. 333 OR ebenfalls bejaht, vertritt den Standpunkt, es sei der Arbeitnehmerin nicht freigestellt, gegen wen sie ihre Ansprüche betreibungsrechtlich geltend machen wolle. Sie müsse sich für ihre Lohnforderungen für die Zeit vor dem Betriebsübergang an die solidarisch haftende Erwerberin, ihre jetzige Arbeitgeberin, halten. In der Lehre werde zwar teilweise die Meinung vertreten, dass Übernehmer von illiquiden oder überschuldeten Betrieben nicht solidarisch für alle Forderungen aus dem Arbeitsverhältnis haften würden, die vor der Konkurseröffnung entstanden seien. Im Ergebnis sei diese Auslegung aus volkswirtschaftlicher Sicht (Unternehmenssanierungen zur Erhaltung von Arbeitsplätzen) durchaus zu begrüssen. Sie widerspreche jedoch offensichtlich dem klaren Wortlaut von Art. 333 Abs. 3 OR und sei deshalb abzulehnen.</w:t>
      </w:r>
    </w:p>
    <w:p>
      <w:r>
        <w:rPr>
          <w:b/>
        </w:rPr>
        <w:t>E. 5</w:t>
      </w:r>
    </w:p>
    <w:p>
      <w:r>
        <w:t>a) Arbeitnehmerschutzrechtliche Bestimmungen müssen gerade dann greifen, wenn die Gesetze des Marktes unternehmerische Entscheidungen verlangen (so BGE 116 Ib 276 Erw. 4b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oder der bisherigen Arbeitgeberin und der übernehmenden Person geltend machen kann (so auch Winkler, a.a.O., S. 99; anderer Meinung: Geiser, Betriebsübernahmen und Massenentlassungen im Zusammenhang mit Zwangsvollstreckungsverfahren, in: Hasenböhler/Schnyder [Hrsg. ],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 Das Sozialversicherungsgericht hat folglich im Rahmen der Beurteilung des Anspruchs auf Insolvenzentschädigung nicht zu prüfen (auch nicht vorfrageweise; vgl. dazu BGE 120 V 382 Erw. 3a mit Hinweisen), ob die Voraussetzungen des Art. 333 OR erfüllt sind. 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 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Arbeitnehmerin ihren Anspruch auf Insolvenzentschädigung unabhängig davon, ob ein Betriebsübergang stattgefunden hat, gelten machen kann. d) Das seco berücksichtigt bei seiner Argumentation ferner die Tatsache zu wenig, dass sich die meisten Arbeitnehmer auf Grund ihrer sozial schwachen Stellung dazu gezwungen sehen, ihre Arbeitskraft der übernehmenden Gesellschaft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 e) Gegen die Lösung der Arbeitslosenkasse und des seco spricht ein weiterer Grund. 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missbräuchlichen Abwälzung von Lohnkosten auf die Versichertengemeinschaft entgegenzutreten (zur rechtsmissbräuchlichen Gesetzesumgehung: BGE 123 V 238 mit Hinweisen), hat die Arbeitslosenversicherung allerdings ihrer Pflicht nachzukommen, ihre Forderungen auf dem Regressweg geltend zu machen ( Art. 54 Abs. 1 Satz 2 AVIG ; BGE 123 V 77 Erw. 2c).</w:t>
      </w:r>
    </w:p>
    <w:p>
      <w:r>
        <w:rPr>
          <w:b/>
        </w:rPr>
        <w:t>E. 6</w:t>
      </w:r>
    </w:p>
    <w:p>
      <w:r>
        <w:t>Bei diesem Ausgang des Verfahrens braucht nicht geprüft zu werden, wie es sich mit der Kündigung durch die ehemalige Arbeitgeberin verhält.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7</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Es besteht de lege lata weder ein Konkurrenzproblem noch wird die arbeitslosenversicherungsrechtliche durch die arbeitsprivatrechtliche Leistungspflicht verdrängt. Mit anderen Worten ist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 Demnach erkennt das Eidg. Versicherungsgericht: I. Die Verwaltungsgerichtsbeschwerde wird abgewiesen. II. Es werden keine Gerichtskosten erhoben. III. Dieses Urteil wird den Parteien, dem Verwaltungsgericht des Kantons Schwyz, dem Kantonalen Amt für Industrie, Gewerbe und Arbeit, Schwyz, und der Arbeitslosenkasse des Kantons Schwyz zugestellt. Luzern, 20. April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