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22/06 vom 5. Januar 2007</w:t>
      </w:r>
    </w:p>
    <w:p>
      <w:r>
        <w:t>Bundesgericht, 2007-01-05, FR</w:t>
      </w:r>
    </w:p>
    <w:p>
      <w:r>
        <w:rPr>
          <w:b/>
        </w:rPr>
        <w:t xml:space="preserve">Quelle: </w:t>
      </w:r>
      <w:r>
        <w:t>https://mcp.opencaselaw.ch/entscheid/bger_C_22_06</w:t>
      </w:r>
    </w:p>
    <w:p>
      <w:r>
        <w:t>FR: TF C 22/06 du 5 janvier 2007</w:t>
      </w:r>
    </w:p>
    <w:p>
      <w:r>
        <w:t>IT: TF C 22/06 del 5 gennaio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[I 618/06] consid. 1.2).</w:t>
      </w:r>
    </w:p>
    <w:p>
      <w:r>
        <w:rPr>
          <w:b/>
        </w:rPr>
        <w:t>E. 2.1</w:t>
      </w:r>
    </w:p>
    <w:p>
      <w:r>
        <w:t>L'aptitude au placement du recourant dès le 1er juillet 2003, admise par les premiers juges, n'est pas contestée devant la Cour de céans. Le litige a pour objet le renvoi de la cause à la Caisse cantonale de chômage afin qu'elle tienne compte du gain intermédiaire réalisé par le recourant durant la période de juillet à décembre 2003 et qu'elle procède au calcul rectificatif de l'indemnité due pendant cette période.</w:t>
      </w:r>
    </w:p>
    <w:p>
      <w:r>
        <w:rPr>
          <w:b/>
        </w:rPr>
        <w:t>E. 2.2</w:t>
      </w:r>
    </w:p>
    <w:p>
      <w:r>
        <w:t>Dans sa réponse, l'intimé invoque la garantie de la double instance. Selon lui, les premiers juges n'avaient pas la compétence de déterminer la manière de prendre en considération les gains intermédiaires. Il conclut à la réforme du jugement attaqué dans ce sens. Une telle conclusion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 Comme la procédure du recours de droit administratif ne connaît pas la voie du recours joint, les requêtes de la partie opposée sont en principe sans influence sur l'objet du litige. En procédure d'octroi ou de refus de prestations d'assurance ( art. 132 let . c OJ, dans sa teneur en vigueur jusqu'au 30 juin 2006),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414 consid. 1A, 119 Ib 36 consid. 1b et les références citées).</w:t>
      </w:r>
    </w:p>
    <w:p>
      <w:r>
        <w:rPr>
          <w:b/>
        </w:rPr>
        <w:t>E. 3.2</w:t>
      </w:r>
    </w:p>
    <w:p>
      <w:r>
        <w:t>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503 , 122 V 36 consid. 2a et les références).</w:t>
      </w:r>
    </w:p>
    <w:p>
      <w:r>
        <w:rPr>
          <w:b/>
        </w:rPr>
        <w:t>E. 3.3</w:t>
      </w:r>
    </w:p>
    <w:p>
      <w:r>
        <w:t>La décision sur opposition du 17 décembre 2004 détermine l'objet de la contestation qui peut être déféré en justice par voie de recours. Celle-ci porte sur l'aptitude au placement du recourant dès le 1er juillet 2003, laquelle n'est plus litigieuse devant la Cour de céans. Les premiers juges ont étendu la procédure à la prise en compte du gain intermédiaire réalisé par le recourant de juillet à décembre 2003 dans le calcul de l'indemnité due pendant cette période. Ils ont décidé que le 95 % du bénéfice réalisé par A.________ Sàrl devait être considéré comme un gain intermédiaire réparti de manière égale entre les mois de juillet à décembre 2003 sur la part du bénéfice revenant au recourant. Toutefois, cette question n'était pas en état d'être jugée. En effet, l'administration ne s'est pas exprimée à son sujet dans un acte de procédure au moins ( ATF 130 V 503 , 122 V 36 consid. 2a déjà cité). Les conditions d'une extension de l'objet de la contestation n'étant pas réunies, il se justifie d'annuler sur ce point le jugement attaqué.</w:t>
      </w:r>
    </w:p>
    <w:p>
      <w:r>
        <w:rPr>
          <w:b/>
        </w:rPr>
        <w:t>E. 4</w:t>
      </w:r>
    </w:p>
    <w:p>
      <w:r>
        <w:t>La procédure est gratuite ( art. 134 OJ ). Le recourant, dont les conclusions tendent au renvoi de la cause à la Caisse cantonale de chômage afin qu'elle procède conformément aux considérants de l'arrêt rendu par la Cour de céans, n'obtient pas gain de cause. Représenté par un avocat, il ne saurait dès lors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