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222/99 vom 23. Oktober 2000</w:t>
      </w:r>
    </w:p>
    <w:p>
      <w:r>
        <w:t>Bundesgericht, 2000-10-23, DE</w:t>
      </w:r>
    </w:p>
    <w:p>
      <w:r>
        <w:rPr>
          <w:b/>
        </w:rPr>
        <w:t xml:space="preserve">Quelle: </w:t>
      </w:r>
      <w:r>
        <w:t>https://mcp.opencaselaw.ch/entscheid/bger_C_222_99</w:t>
      </w:r>
    </w:p>
    <w:p>
      <w:r>
        <w:t>FR: TF C 222/99 du 23 octobre 2000</w:t>
      </w:r>
    </w:p>
    <w:p>
      <w:r>
        <w:t>IT: TF C 222/99 del 23 ottobre 2000</w:t>
      </w:r>
    </w:p>
    <w:p>
      <w:pPr>
        <w:pStyle w:val="Heading2"/>
      </w:pPr>
      <w:r>
        <w:t>Regeste</w:t>
      </w:r>
    </w:p>
    <w:p>
      <w:r>
        <w:t>Arbeitslosenversicherung</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 Ob es sich beim Schreiben der Arbeitslosenkasse vom 1. Juli 1998 um eine anfechtbare Verfügung handelt, ist von Amtes wegen zu prüfen (RKUV 1991 Nr. U 124 S. 157 Erw. 1, siehe auch BGE 120 V 349 f. Erw. 2b, 112 V 109 Erw. 1). b) Mit diesem Schreiben hat die Kasse dem Beschwerdeführer auf dessen Wunsch hin schriftlich erklärt, eine Nachzahlung von Taggeldern in der Höhe der Abgangsentschädigung komme nicht in Frage, weil die entsprechende Weisung vom 15. Mai 1998 einzig auf Verfügungen Anwendung finde, die nach dem 18. März 1998 erlassen worden seien. Eine Wiedererwägung könne daher nicht in Betracht gezogen werden. Es bestehe aber die Möglichkeit, bei der kantonalen Schiedskommission für Arbeitslosenversicherung Beschwerde wegen Willkür (Ungleichbehandlung der versicherten Personen) zu führen. Eine Beschwerdefrist wurde nicht angegeben. Dieses Schreiben stellt eine Verfügung dar, und zwar eine Ablehnung des als Wiedererwägungsgesuch interpretierten Begehrens des Beschwerdeführers, auf die rechtskräftige Verfügung vom 16. Februar 1998 zurückzukommen.</w:t>
      </w:r>
    </w:p>
    <w:p>
      <w:r>
        <w:rPr>
          <w:b/>
        </w:rPr>
        <w:t>E. 2</w:t>
      </w:r>
    </w:p>
    <w:p>
      <w:r>
        <w:t>Rechtskräftige Verfügungen können unter bestimmten Voraussetzungen abgeändert werden. In Frage kommen die Wiedererwägung wegen anfänglicher rechtlicher Unrichtigkeit, die sogenannte prozessuale Revision wegen anfänglicher tatsächlicher Unrichtigkeit sowie - bei Dauerverfügungen - die Anpassung an tatsächlich oder rechtlich veränderte Verhältnisse ( BGE 115 V 312 Erw. 4a; Ulrich Meyer, Die Abänderung formell rechtskräftiger Verwaltungsverfügungen in der Sozialversicherung, in: ZBl 95 [1994], S. 348 ff.; Ueli Kieser, Die Abänderung der formell rechtskräftigen Verfügung nach der Rechtsprechung des Eidgenössischen Versicherungsgerichts, Bemerkung zu Revision, Wiedererwägung und Anpassung, SZS 35 [1991] 132 ff.; Rudolf Rüedi, Allgemeine Rechtsgrundsätze des Sozialversicherungsprozesses, in: Walter R. Schluep [Hrsg. ], Recht, Staat und Politik am Ende des zweiten Jahrtausends, Festschrift zum 60. Geburtstag von Bundesrat Arnold Koller, in: St. Galler Studien zum Privat- Handels- und Wirtschaftsrecht 34/1993, S. 471 ff.; Alexandra Rumo-Jungo, Die Instrumente zur Korrektur der Sozialversicherungsverfügung, in: Verfahrensfragen in der Sozialversicherung, St. Gallen 1996, S. 263 ff.).</w:t>
      </w:r>
    </w:p>
    <w:p>
      <w:r>
        <w:rPr>
          <w:b/>
        </w:rPr>
        <w:t>E. 3</w:t>
      </w:r>
    </w:p>
    <w:p>
      <w:r>
        <w:t>a) Der Beschwerdeführer verlangt die Anwendung der am 15. Mai 1998 erlassenen Weisung des damaligen Bundesamtes für Wirtschaft und Arbeit auf die rechtskräftige Verfügung vom 16. Februar 1998. Streitig und zu prüfen ist daher, ob eine geänderte Rechtslage vorliegt, welche die Anpassung der Dauerverfügung rechtfertigt. Nicht zur Diskussion stehen hingegen die Anpassung der rechtskräftigen Verfügung an geänderte tatsächliche Verhältnisse oder die prozessuale Revision wegen anfänglicher tatsächlicher Unrichtigkeit. Entgegen der Annahme von Vorinstanz und Verwaltung ist ein Zurückkommen auf die rechtskräftige Verfügung vom 16. Februar 1998 auch nicht unter dem Titel der Wiedererwägung zu prüfen, stützte sich doch diese Verfügung auf die damals geltende Verwaltungspraxis sowie auf die Rechtsprechung des Eidgenössischen Versicherungsgerichts (nicht veröffentlichtes Urteil B. vom 5. September 1996, C 267/95), so dass von anfänglicher zweifelloser Unrichtigkeit ( BGE 122 V 21 Erw. 3a, 173 Erw. 4a, 271 Erw. 2, 368 Erw. 3, 121 V 4 Erw. 6, je mit Hinweisen) nicht die Rede sein kann. b) Bei Änderung des objektiven Rechts kann die Verwaltung unter Umständen auf eine rechtskräftige und fehlerfreie Verfügung über ein Dauerrechtsverhältnis zurückkommen. Eine Änderung objektiven Rechts liegt vor, wenn der Gesetzgeber eine neue für den fraglichen Anspruch erhebliche Norm eingeführt hat. Diesfalls ist - unter Vorbehalt wohlerworbener Rechte - eine Anpassung der Verfügung nicht nur erlaubt, sondern gefordert. Besteht hingegen die Änderung des massgebenden Rechts lediglich in einer neuen gerichtlich bestätigten Verwaltungspraxis oder einer neuen Rechtsprechung, so darf die Verfügung über das Dauerrechtsverhältnis grundsätzlich nicht angetastet werden ( BGE 121 V 161 f. Erw. 4a, 120 V 131 Erw. 3b; Meyer, a.a.O., S. 350; Kieser, a.a.O., S. 147 f.; Rumo-Jungo, a.a.O. S. 279 f.). Ausnahmsweise kann aber eine geänderte Verwaltungspraxis zur Abänderung einer rechtskräftigen Verfügung führen, wenn die neue Praxis eine derart grosse allgemeine Verbreitung erhält, dass deren Nichtbefolgung als Verstoss gegen das Gleichheitsgebot erschiene, insbesondere wenn die auf die alte Praxis gestützten Verfügungen nur mehr für einzelne wenige Versicherte gelten ( BGE 121 V 162 Erw. 4a, 120 V 132 Erw. 3c; Meyer, a.a.O. S. 350; Kieser, a.a.O. S. 147 f.). Unter dieser Voraussetzung liegt im Ergebnis die gleiche Situation vor wie im Falle einer nachträglichen Änderung des objektiven Rechts, so dass eine Praxisänderung Anlass zur Umgestaltung eines Dauerrechtsverhältnisses geben kann ( BGE 121 V 162 Erw. 4a; Meyer, a.a.O. S. 350). Diese restriktive Regelung gilt jedenfalls dann, wenn sich die neue Praxis zu Lasten der versicherten Person auswirken würde. Ist hingegen die neue Rechtspraxis günstiger als die alte, soll sie (mit Wirkung ex nunc et pro futuro) ohne weiteres auch auf Verfügungen angewendet werden, die unter der alten Praxis ergangen sind ( BGE 120 V 132 Erw. 3c, mit Hinweis auf Blaise Knapp, Précis de droit administratif, 4e édition, S. 282, N 1346; zustimmend Rumo-Jungo, a.a.O., S. 280). In diesem Sinne hat das Eidgenössische Versicherungsgericht z. B. seine geänderte Rechtsprechung in Bezug auf die Leistungskürzungen bei Grobfahrlässigkeit ( BGE 119 V 171 ff.) ab ihrer Einführung, d.h. ab dem Urteilsdatum vom 25. August 1993, auch auf bereits rechtskräftig beurteilte Verfügungen angewendet ( BGE 120 V 133 Erw. 4d).</w:t>
      </w:r>
    </w:p>
    <w:p>
      <w:r>
        <w:rPr>
          <w:b/>
        </w:rPr>
        <w:t>E. 4</w:t>
      </w:r>
    </w:p>
    <w:p>
      <w:r>
        <w:t>Das damalige Bundesamt für Wirtschaft und Arbeit (BWA; ab 1. Juli 1999: Staatssekretariat für Wirtschaft [seco]) hatte gestützt auf die Rechtsprechung (nicht veröffentlichtes Urteil B. vom 5. September 1996) in einem Kreisschreiben vom 18. März 1998 festgehalten, freiwillige Abgangsentschädigungen seien in Übereinstimmung mit der AHV-rechtlichen Qualifikation als Lohn zu betrachten, mit der Folge, dass gegebenenfalls während einer diesem Lohn entsprechenden Zeitspanne kein Anspruch auf Arbeitslosenentschädigung bestand. Dieses Kreisschreiben wurde nach Gesprächen mit den Sozialpartnern mit Weisung vom 15. Mai 1998 rückwirkend aufgehoben. Das hatte zur Folge, dass die seither gestützt auf das Kreisschreiben erlassenen Verfügungen aufzuheben und die Fälle im Lichte der neuen Praxis (gemäss Weisung vom 15. Mai 1998) zu beurteilen waren. Betroffen waren somit sämtliche am 18. März 1998 oder später hängigen Fälle, unabhängig davon, wann sich der ihnen zu Grunde liegende Sachverhalt ereignet hatte ( BGE 120 V 131 Erw. 3a in initio). Die neue Verwaltungspraxis wurde mithin auf den 18. März 1998 eingeführt. Nach dem in Erw. 3b Gesagten und im Sinne von BGE 120 V 133 Erw. 4d ist diese neue Praxis ab ihrer Einführung auch auf sämtliche rechtskräftig (und a fortiori noch gerade nicht rechtskräftig) entschiedenen Fälle anwendbar. Vor dem 18. März 1998 erlassene (rechtskräftige) Dauerverfügungen sind daher grundsätzlich ab diesem Zeitpunkt an die günstigere Rechtspraxis anzupassen.</w:t>
      </w:r>
    </w:p>
    <w:p>
      <w:r>
        <w:rPr>
          <w:b/>
        </w:rPr>
        <w:t>E. 5</w:t>
      </w:r>
    </w:p>
    <w:p>
      <w:r>
        <w:t>Voraussetzung für die Anwendung der neuen Rechtspraxis ist aber, dass sie gesetz- und verfassungsmässig ist. a) Nach der Rechtsprechung ist bei der Beurteilung der Anspruchsberechtigung im Sinne von Art. 11 Abs. 3 AVIG auf die AHV-Gesetzgebung ( Art. 5 Abs. 4 AHVG in Verbindung mit Art. 6 Abs. 2 und Art. 7 AHVV ) abzustellen. Daraus ergibt sich, dass auf dem massgebenden Lohn Beiträge zu entrichten sind und im Gegenzug die diesem Lohnwert entsprechende Ausfallzeit nicht zu entschädigen ist (Erw. 2a des erwähnten nicht veröffentlichten Urteils B. vom 5. September 1996). Abgangsentschädigungen und freiwillige Vorsorgeleistungen gehören zum massgebenden Lohn, soweit ihnen nicht Sozialleistungs- oder Vorsorgecharakter zukommt (Erw. 2b des genannten Urteils B.). Die Weisung vom 15. Mai 1998 ist somit gesetzwidrig. b) Die dem Beschwerdeführer ausgerichtete Zahlung von Fr. 26'471. - stellt eine Entschädigung für die Auflösung des Arbeitsverhältnisses und das damit verbundene Risiko eines Lohnausfalles wegen Arbeitslosigkeit dar. Vorsorgecharakter kommt dieser Leistung nicht zu, ist sie doch nicht zur Deckung der Risiken Alter, Invalidität oder Tod bestimmt. Gestützt auf das erwähnte Urteil B. ist folglich die diesem Lohn entsprechende Ausfallzeit von der Arbeitslosenversicherung nicht zu entschädigen.</w:t>
      </w:r>
    </w:p>
    <w:p>
      <w:r>
        <w:rPr>
          <w:b/>
        </w:rPr>
        <w:t>E. 6</w:t>
      </w:r>
    </w:p>
    <w:p>
      <w:r>
        <w:t>Zu prüfen bleibt, ob der Beschwerdeführer allenfalls unter dem Gesichtspunkt der Gleichbehandlung im Unrecht Anspruch auf die Anwendung der neuen Rechtspraxis hat. a)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 BGE 116 V 238 Erw. 4b, 115 V 238 Erw. 7b/bb f., je mit Hinweisen; BGE 106 V 119 Erw. 3; RKUV 1987 Nr. K 710 S. 27 Erw. 3b; Andreas Auer, L'égalité dans l'illégalité, in: ZBl 1978 S. 297; Arthur Häfliger, Alle Schweizer sind vordemGesetzegleich, Bern1985, S.73f. ;Meyer-Blaser, DieBedeutungvonArt. 4BVfürdasSozialversicherungsrecht, in:ZSR 1992, 2. Halbbd. , S. 417; Jörg-Paul Müller, Die Grundrechte der schweizerischen Bundesverfassung, Bern 1991, S. 223 f.). b) Vorliegend hat das BWA das anders lautende Kreisschreiben vom 18. März 1998 gestützt auf Gespräche mit den Sozialpartnern widerrufen und mit der Weisung vom 15. Mai 1998 eine neue Praxis eingeführt. Diese wurde damit begründet, dass die Beibehaltung der alten, laut dem erwähnten nicht veröffentlichten Urteil B. gesetzmässigen Praxis die sozialpolitisch unerwünschte Folge haben könnte, dass in Zukunft bei Entlassungen weniger oder gar keine Sozialpläne ausgearbeitet werden. Die neue Praxis wurde daher im Interesse des Einvernehmens zwischen den Sozialpartnern und des für den sozialen Frieden wichtigen Instituts des Sozialplanes erlassen. Der Verwaltung schien bewusst zu sein, dass ihr Vorgehen vom Gesetz womöglich nicht gedeckt war. Daher kündigte sie zusammen mit dem Erlass der neuen Weisung an, im Rahmen der nächsten ordentlichen Gesetzesrevision werde diese Frage neu beurteilt und klar geregelt. Die auch in der Presse veröffentlichte neue Verwaltungspraxis fand in den nunmehr zweieinhalb Jahren ihrer Geltung auf zahlreiche Fälle, namentlich im Zusammenhang mit Restrukturierungsmassnahmen grosser Firmen, Anwendung. Somit liegt eine konstante gesetzeswidrige Praxis vor und besteht Grund zur Annahme, die Verwaltung sei nicht gewillt, in Zukunft anders zu entscheiden. Vielmehr will sie ihre Praxis bei nächster Gelegenheit (AVIG-Revision 2003) gesetzlich absichern. Dies hat das seco in der (im vorliegenden Verfahren eingeholten) Auskunft vom 4. September 2000 ausdrücklich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