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217/04 vom 15. April 2005</w:t>
      </w:r>
    </w:p>
    <w:p>
      <w:r>
        <w:t>Bundesgericht, 2005-04-15, DE</w:t>
      </w:r>
    </w:p>
    <w:p>
      <w:r>
        <w:rPr>
          <w:b/>
        </w:rPr>
        <w:t xml:space="preserve">Quelle: </w:t>
      </w:r>
      <w:r>
        <w:t>https://mcp.opencaselaw.ch/entscheid/bger_C_217_04</w:t>
      </w:r>
    </w:p>
    <w:p>
      <w:r>
        <w:t>FR: TF C 217/04 du 15 avril 2005</w:t>
      </w:r>
    </w:p>
    <w:p>
      <w:r>
        <w:t>IT: TF C 217/04 del 15 aprile 2005</w:t>
      </w:r>
    </w:p>
    <w:p>
      <w:pPr>
        <w:pStyle w:val="Heading2"/>
      </w:pPr>
      <w:r>
        <w:t>Regeste</w:t>
      </w:r>
    </w:p>
    <w:p>
      <w:r>
        <w:t>Arbeitslosenversicherung | 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sind im vorliegenden Fall die bis zum 31. Dezember 2002 geltenden Bestimmungen anwendbar ( BGE 129 V 4 Erw. 2.1).</w:t>
      </w:r>
    </w:p>
    <w:p>
      <w:r>
        <w:rPr>
          <w:b/>
        </w:rPr>
        <w:t>E. 2</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3.1</w:t>
      </w:r>
    </w:p>
    <w:p>
      <w:r>
        <w:t>Nach der Rechtsprechung deckt die Insolvenzentschädigung nur Lohnforderungen, die sich auf geleistete Arbeit beziehen, nicht aber auf Ansprüche bei (ungerechtfertigter) vorzeitiger Auflösung des Arbeitsverhältnisses und für noch nicht bezogene Ferien ( BGE 121 V 377 , 114 V 60, 111 V 269, 110 V 30). Der rechtliche Bestand eines Arbeitsverhältnisses allein ist kein taugliches Kriterium für die Beantwortung der Frage, ob Ansprüche für geleistete Arbeit im Sinne von Art. 51 ff. AVIG geschuldet sind (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 Art. 15 Abs. 1 AVIG ) und die Kontrollvorschriften ( Art. 17 AVIG )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 Art. 8 ff. AVIG ) zu prüfen ist, auch wenn ihm noch Lohnforderungen wegen vorzeitiger Auflösung des Arbeitsverhältnisses zustehen. In solchen Fällen besteht zwar kein anrechenbarer Arbeitsausfall im Sinne von Art. 11 Abs. 3 AVIG , wie er für den Anspruch auf Arbeitslosenentschädigung vorausgesetzt ist ( Art. 8 Abs. 1 lit. b AVIG );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 BGE 121 V 379 Erw. 2b; ARV 2003 Nr. 28 S. 256 Erw. 2.4.1). Diese Grundsätze gelten auch dann, wenn das Arbeitsverhältnis zur Unzeit aufgelöst wird ( Art. 336c OR ) und der Arbeitgeber nach Art. 324 OR in Annahmeverzug gerät. In Bezug auf die Vermittlungsfähigkeit verhält es sich in diesem Fall nicht grundlegend anders als bei der ungerechtfertigten fristlosen Entlassung des Arbeitnehmers (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welches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 BGE 111 V 269 ;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w:t>
      </w:r>
    </w:p>
    <w:p>
      <w:r>
        <w:rPr>
          <w:b/>
        </w:rPr>
        <w:t>E. 4.1</w:t>
      </w:r>
    </w:p>
    <w:p>
      <w:r>
        <w:t>Das kantonale Gericht ging von einem Annahmeverzug der Arbeitgeberin aus. Aufgrund des im Kündigungsschreiben der Arbeitgeberin enthaltenen Hinweises, der Arbeitnehmer möge das RAV so schnell wie möglich aufsuchen lasse sich nicht schliessen, die Parteien seien sich einig gewesen, dass sich der Arbeitnehmer während der Kündigungsfrist nicht mehr zur Verfügung der Arbeitgeberin bereit zu halten habe. Nichts deute darauf hin, dass er während der Kündigungsfrist freigestellt worden wäre. Obwohl eine fristlose Kündigung durch den Versicherten unter den gegebenen Umständen möglich und sogar vernünftig gewesen wäre, sei er zu einem solchen Schritt nicht verpflichtet gewesen. Durch die Begrenzung der Bezugsdauer der Insolvenzentschädigung habe der Gesetzgeber im Übrigen dafür gesorgt, dass ein übermässiger, allenfalls rechtsmissbräuchlicher Bezug der Entschädigung möglich werde.</w:t>
      </w:r>
    </w:p>
    <w:p>
      <w:r>
        <w:rPr>
          <w:b/>
        </w:rPr>
        <w:t>E. 4.2</w:t>
      </w:r>
    </w:p>
    <w:p>
      <w:r>
        <w:t>Das Beschwerde führende Bundesamt stellt sich demgegenüber im Wesentlichen auf den Standpunkt, den Mitarbeitenden sei klar gewesen, dass sie spätestens ab Ende Oktober 2002 nicht mehr für die Fluggesellschaft A.________ AG würden arbeiten können. Sie hätten auch gewusst, dass sie sich unverzüglich beim RAV melden sollten, wenn sie Leistungen der Arbeitslosenversicherung beanspruchen wollten. Ob ein Arbeitgeberverzug vorgelegen habe, sei unerheblich, weil alle Angestellten ausnahmslos dem Arbeitsmarkt zur Verfügung gestanden hätten, nachdem das Arbeitsverhältnis faktisch aufgelöst und sie somit arbeitslos gewesen seien. Ab dem 8. November 2002, als auch der letzte Arbeitnehmende im Besitze einer Kündigung gewesen sei, sei keine Arbeitsleistung mehr erfolgt, weshalb ab diesem Datum kein Anspruch auf Insolvenzentschädigung bestehe. Sofern sich die Versicherten nicht spätestens ab diesem Zeitpunkt beim RAV gemeldet und die Kontrollvorschriften erfüllt hätten, könne auch keine Arbeitslosenentschädigung ausgerichtet werden.</w:t>
      </w:r>
    </w:p>
    <w:p>
      <w:r>
        <w:rPr>
          <w:b/>
        </w:rPr>
        <w:t>E. 4.3</w:t>
      </w:r>
    </w:p>
    <w:p>
      <w:r>
        <w:t>Der Beschwerdegegner macht geltend, die Tatsache, dass die Piloten der Fluggesellschaft A.________ AG nie geflogen seien, stelle keine faktische Unmöglichkeit der Vertragserfüllung dar. Vor der Aufnahme des eigentlichen Flugbetriebes hätten zahlreiche Vorbereitungsarbeiten erledigt werden müssen. So hätten sie ab Juli 2002 das vom internationalen Luftrecht vorgeschriebene Training im Simulator und Theoriesaal absolvieren und operationelle Unterlagen erstellen müssen. Die Gesellschaft habe nur deshalb nicht abheben können, weil die Betriebsbewilligung nicht vorgelegen habe. Wegen der Hinhaltetaktik der Geschäftsleitung habe er sich bereit halten müssen, um nach einer allfälligen Erteilung der Bewilligung den Flugbetrieb aufnehmen zu können. Vermittlungsfähigkeit könne nur vorliegen, wenn das Arbeitsverhältnis aufgelöst oder der Arbeitnehmer während der Dauer der Kündigungsfrist freigestellt sei, was beides nicht der Fall gewesen sei. Zudem sei die Informationspolitik der Behörde widersprüchlich gewesen, welche den Angestellten geraten habe, entweder mit der Anmeldung bei der Arbeitslosenkasse bis zur Konkurseröffnung zuzuwarten, damit sie finanziell besser gestellt seien oder die fristlose Kündigung auszusprechen und sich sofort bei der Arbeitslosenkasse anzumelden.</w:t>
      </w:r>
    </w:p>
    <w:p>
      <w:r>
        <w:rPr>
          <w:b/>
        </w:rPr>
        <w:t>E. 5.1</w:t>
      </w:r>
    </w:p>
    <w:p>
      <w:r>
        <w:t>Der Beschwerdegegner stand seit der von der Arbeitgeberin am 26. September 2002 auf den 31. Dezember 2002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Redimensionierungsmassnahmen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w:t>
      </w:r>
    </w:p>
    <w:p>
      <w:r>
        <w:rPr>
          <w:b/>
        </w:rPr>
        <w:t>E. 5.2</w:t>
      </w:r>
    </w:p>
    <w:p>
      <w:r>
        <w:t>Kommt ein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 BGE 115 V 444 Erw. 5a). Der in Art. 324 OR geregelte Annahmeverzug ist ein besonderer Fall des Gläubigerverzugs nach Art. 95 OG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bis 31. Dezember 2002 ausdrücklich angeboten. Die Arbeitgeberin hat darauf jedoch nicht reagiert und geriet damit in Annahmeverzug. Freigestellt wurde der Beschwerdegegner damit aber nicht. Davon geht auch das seco aus, hat es doch den Leistungsanspruch zumindest bis 8. November 2002 anerkannt.</w:t>
      </w:r>
    </w:p>
    <w:p>
      <w:r>
        <w:rPr>
          <w:b/>
        </w:rPr>
        <w:t>E. 5.3</w:t>
      </w:r>
    </w:p>
    <w:p>
      <w:r>
        <w:t>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 BGE 120 II 212 Erw. 6a). Es kann von ihm jedoch nicht unter dem Titel der Schadenminderungspflicht ( BGE 129 V 463 Erw. 4.2, 123 V 233 Erw. 3c mit Hinweisen) verlangt werden, diesen Schritt zu machen. Ob der Schaden der Arbeitslosenversicherung damit überhaupt gemindert würde, ist fraglich. Zwar ist die Arbeitslosenentschädigung (Taggelder gemäss Art. 22 AVIG )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Wenn er - nachdem er darauf keine Antwort erhalten hatte - nicht sofort im Sinne von Art. 337a OR vorging, kann ihm dies arbeitslosenversicherungsrechtlich nicht zum Nachteil gereichen.</w:t>
      </w:r>
    </w:p>
    <w:p>
      <w:r>
        <w:rPr>
          <w:b/>
        </w:rPr>
        <w:t>E. 5.4</w:t>
      </w:r>
    </w:p>
    <w:p>
      <w:r>
        <w:t>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die Monatslöhne September und Oktober ausstehend. Die Konkurseröffnung fand kurz darauf am 26. November 2002 statt, weshalb auch hier nicht von einer rechtsmissbräuchlichen Geltendmachung der Insolvenzentschädigung auszugehen ist.</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w:t>
      </w:r>
    </w:p>
    <w:p>
      <w:r>
        <w:rPr>
          <w:b/>
        </w:rPr>
        <w:t>E. 7</w:t>
      </w:r>
    </w:p>
    <w:p>
      <w:r>
        <w:t>Das Verfahren ist kostenlos ( Art. 134 OG ). Der obsiegende anwaltlich vertretene Beschwerdegegner hat Anspruch auf eine Parteientschädigung zu Lasten des Beschwerde führenden Bundesamtes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