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216/00 vom 27. August 2002</w:t>
      </w:r>
    </w:p>
    <w:p>
      <w:r>
        <w:t>Bundesgericht, 2002-08-27, DE</w:t>
      </w:r>
    </w:p>
    <w:p>
      <w:r>
        <w:rPr>
          <w:b/>
        </w:rPr>
        <w:t xml:space="preserve">Quelle: </w:t>
      </w:r>
      <w:r>
        <w:t>https://mcp.opencaselaw.ch/entscheid/bger_C_216_00</w:t>
      </w:r>
    </w:p>
    <w:p>
      <w:r>
        <w:t>FR: TF C 216/00 du 27 août 2002</w:t>
      </w:r>
    </w:p>
    <w:p>
      <w:r>
        <w:t>IT: TF C 216/00 del 27 agosto 2002</w:t>
      </w:r>
    </w:p>
    <w:p>
      <w:pPr>
        <w:pStyle w:val="Heading2"/>
      </w:pPr>
      <w:r>
        <w:t>Regeste</w:t>
      </w:r>
    </w:p>
    <w:p>
      <w:r>
        <w:t>Arbeitslosenversicherung</w:t>
      </w:r>
    </w:p>
    <w:p>
      <w:pPr>
        <w:pStyle w:val="Heading2"/>
      </w:pPr>
      <w:r>
        <w:t>Erwägungen</w:t>
      </w:r>
    </w:p>
    <w:p>
      <w:r>
        <w:rPr>
          <w:b/>
        </w:rPr>
        <w:t>E. 1</w:t>
      </w:r>
    </w:p>
    <w:p>
      <w:r>
        <w:t>Auf die zutreffenden rechtlichen Erwägungen der Vorinstanz zur Anspruchsvoraussetzung der Beitragszeit ( Art. 8 Abs. 1 lit. e und Art. 13 Abs. 1 AVIG ) wird verwiesen. Insbesondere hat das kantonale Gericht richtig festgehalten, dass bei Teilzeitbeschäftigten die Beitragszeit in Bezug auf den Teil der Zeit erfüllt sein muss, für den ein Arbeitsausfall geltend gemacht wird ( BGE 121 V 341 Erw. 4, 112 V 240 Erw. 2c; ARV 1996/1997 Nr. 32 S. 181 Erw. 6; SVR 1994 ALV Nr. 11 S. 28 Erw. 3; Thomas Nussbaumer, Arbeitslosenversicherung, in: Schweizerisches Bundesverwaltungsrecht [SBVR], Bd. Soziale Sicherheit, Rz 171; Alexandra Rumo-Jungo, Ausgewählte Gerichtsentscheide aus dem Sozialversicherungsrecht im Zusammenhang mit Teilzeitarbeitsverhältnissen, in: Neue Erwerbsformen - veraltetes Arbeits- und Sozialversicherungsrecht?, Bern 1996, S. 187 ff., S. 218, insbesondere Fn 66).</w:t>
      </w:r>
    </w:p>
    <w:p>
      <w:r>
        <w:rPr>
          <w:b/>
        </w:rPr>
        <w:t>E. 2</w:t>
      </w:r>
    </w:p>
    <w:p>
      <w:r>
        <w:t>Die Beschwerdeführerin hatte ihre Teilzeitstelle bei der Firma A.________ AG zur Zeit des Eintritts der Arbeitslosigkeit (1. September 1998) und noch im die Grenze der richterlichen Beurteilung bildenden ( BGE 121 V 366 Erw. 1b) Zeitpunkt des Erlasses der Verwaltungsverfügung (12. November 1998) nach wie vor inne. Diesbezüglich fehlt es demnach an einem Arbeitsausfall. Dieser liegt vielmehr im Umfang des Verlusts des für die Firma B.________ AG geleisteten Pensums bzw. - soweit die Versicherte ihre Erwerbstätigkeit noch weiter ausdehnen möchte - in der Differenz zwischen dem Arbeitspensum bei der Firma A.________ AG und dem von der Beschwerdeführerin gesamthaft angestrebten Beschäftigungsgrad (vgl. BGE 121 V 341 Erw. 3). Da die Beitragszeit in Bezug auf den Arbeitsausfall erfüllt sein muss, kann die Beschäftigung bei der Firma A.________ AG entgegen der Auffassung der Beschwerdeführerin nicht berücksichtigt werden, sondern es sind nur über diese Tätigkeit hinausgehende beitragspflichtige Beschäftigungen in Anschlag zu bringen. Die Versicherte versah nebst ihrer Arbeit für die Firma A.________ AG einzig die Stelle bei der Firma B.________ AG. Diese Beschäftigung erreichte indessen während den einem möglichen Anspruchsbeginn in der Zeit zwischen dem 1. September 1998 und dem 12. November 1998 (wobei die Versicherte anfangs November 1998 ohnehin wieder im früheren Umfang eine unbefristete Stelle bei der Firma B.________ AG antreten konnte) vorangegangenen zwei Jahren (Rahmenfrist für die Beitragszeit gemäss Art. 9 Abs. 3 AVIG ) die in Art. 13 Abs. 1 AVIG vorgesehene Mindestdauer von sechs Monaten unbestrittenermassen nicht. Verwaltung und Vorinstanz haben folglich die Erfüllung der Beitragszeit zu Recht verneint.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