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199/00 vom 30. April 2001</w:t>
      </w:r>
    </w:p>
    <w:p>
      <w:r>
        <w:t>Bundesgericht, 2001-04-30, DE</w:t>
      </w:r>
    </w:p>
    <w:p>
      <w:r>
        <w:rPr>
          <w:b/>
        </w:rPr>
        <w:t xml:space="preserve">Quelle: </w:t>
      </w:r>
      <w:r>
        <w:t>https://mcp.opencaselaw.ch/entscheid/bger_C_199_00</w:t>
      </w:r>
    </w:p>
    <w:p>
      <w:r>
        <w:t>FR: TF C 199/00 du 30 avril 2001</w:t>
      </w:r>
    </w:p>
    <w:p>
      <w:r>
        <w:t>IT: TF C 199/00 del 30 aprile 2001</w:t>
      </w:r>
    </w:p>
    <w:p>
      <w:pPr>
        <w:pStyle w:val="Heading2"/>
      </w:pPr>
      <w:r>
        <w:t>Regeste</w:t>
      </w:r>
    </w:p>
    <w:p>
      <w:r>
        <w:t>Arbeitslosenversicherung</w:t>
      </w:r>
    </w:p>
    <w:p>
      <w:pPr>
        <w:pStyle w:val="Heading2"/>
      </w:pPr>
      <w:r>
        <w:t>Erwägungen</w:t>
      </w:r>
    </w:p>
    <w:p>
      <w:r>
        <w:rPr>
          <w:b/>
        </w:rPr>
        <w:t>E. 1</w:t>
      </w:r>
    </w:p>
    <w:p>
      <w:r>
        <w:t>Da den beiden Verwaltungsgerichtsbeschwerden derselbe Sachverhalt zugrunde liegt, sich die gleichen Rechtsfragen stellen und die Rechtsmittel zwei am nämlichen Tag ergangene Entscheide des Versicherungsgerichts des Kantons Aargau betreffen, rechtfertigt es sich, die beiden Verfahren zu vereinigen und in einem einzigen Urteil zu erledigen (vgl. BGE 123 V 215 Erw. 1, 120 V 466 Erw. 1 mit Hinweisen).</w:t>
      </w:r>
    </w:p>
    <w:p>
      <w:r>
        <w:rPr>
          <w:b/>
        </w:rPr>
        <w:t>E. 2</w:t>
      </w:r>
    </w:p>
    <w:p>
      <w:r>
        <w:t>Laut Art. 31 Abs. 1 AVIG haben Arbeitnehmer, deren normale Arbeitszeit verkürzt oder deren Arbeit ganz eingestellt ist, Anspruch auf Kurzarbeitsentschädigung, wenn sie bestimmte, in lit. a-d näher umschriebene Voraussetzungen erfüllen. Keinen Anspruch auf Kurzarbeitsentschädigung haben gemäss Art. 31 Abs. 3 lit. c AVIG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Dem Wortlaut nach ist diese Bestimmung zwar auf Kurzarbeitsentschädigung zugeschnitten. Wie das Eidgenössische Versicherungsgericht in BGE 123 V 234 ff. entschieden hat, lässt sich daraus jedoch nicht folgern, dass die in Art. 31 Abs. 3 lit. c AVIG genannten arbeitgeberähnlichen Personen in jedem Fall Anspruch auf Arbeitslosenentschädigung bei Ganzarbeitslosigkeit haben. Behält z.B. ein Arbeitnehmer nach der Entlassung seine arbeitgeberähnliche Stellung im Betrieb bei und kann er dadurch die Entscheidungen des Arbeitgebers weiterhin bestimmen oder massgeblich beeinflussen, verfügt er nach wie vor über die unternehmerische Dispositionsfreiheit, den Betrieb jederzeit zu reaktivieren und sich bei Bedarf erneut als Arbeitnehmer einzustellen. Ein solches Vorgehen läuft auf eine rechtsmissbräuchliche Umgehung der Regelung des Art. 31 Abs. 3 lit. c AVIG hinaus, welche ihrem Sinn nach der Missbrauchsverhütung dient und in diesem Rahmen inbesondere dem Umstand Rechnung tragen will, dass der Arbeitsausfall von arbeitgeberähnlichen Personen praktisch unkontrollierbar ist, weil sie ihn aufgrund ihrer Stellung bestimmen oder massgeblich beeinflussen können (S. 237 f. Erw. 7b/bb). Im unveröffentlichten Urteil M. vom 26. Juli 1999, C 123/99, hat das Eidgenössische Versicherungsgericht festgestellt, dass diese Rechtsprechung analog für den in einer Einzelfirma mitarbeitenden Ehegatten des Arbeitgebers gemäss Art. 31 Abs. 3 lit. b AVIG gilt; da der Ehegatte an der unternehmerischen Dispositionsfähigkeit teilnimmt, kommt ihm eine arbeitgeberähnliche Stellung zu.</w:t>
      </w:r>
    </w:p>
    <w:p>
      <w:r>
        <w:rPr>
          <w:b/>
        </w:rPr>
        <w:t>E. 3</w:t>
      </w:r>
    </w:p>
    <w:p>
      <w:r>
        <w:t>Der Beschwerdegegner arbeitete seit Juli 1995 im Betrieb seiner Ehefrau mit. Das anfänglich volle Pensum wurde auf den 1. März 1997 auf 50 % einer Ganztagsbeschäftigung reduziert. Für diese Arbeitszeitverkürzung könnte er nach Art. 31 Abs. 3 lit. b AVIG keine Kurzarbeitsentschädigung beanspruchen. Wie das seco zutreffend geltend macht, fällt unter den gegebenen Umständen auch ein Anspruch auf Arbeitslosenentschädigung in Form eines Differenzausgleichs bei Zwischenverdienst im Sinne von Art. 24 AVIG ausser Betracht: Der Beschwerdegegner hätte sich jederzeit von der Ehefrau wieder zu einem höheren Beschäftigungsgrad einstellen lassen können. Der Versuch, die umsatzschwache Periode der Einzelfirma seiner Ehefrau mittels Taggeldern der Arbeitslosenversicherung zu überbrücken, kommt einer rechtsmissbräuchlichen Umgehung der Regelung über die Kurzarbeitsentschädigung gleich, von deren Bezug er von Gesetzes wegen ausgeschlossen ist. Dies gilt umso mehr, als aus den Ausführungen des Beschwerdegegners, wonach es schwierig sei, die Teilzeitstelle in der Firma seiner Ehegattin mit einer anderen Arbeit zu vereinbaren, weil auf die Wünsche und Bedürfnisse der Kundschaft Rücksicht genommen werden müsse, hervorgeht, dass ihm in erster Linie daran gelegen war, für den Betrieb der Ehefrau disponibel zu sein.</w:t>
      </w:r>
    </w:p>
    <w:p>
      <w:r>
        <w:rPr>
          <w:b/>
        </w:rPr>
        <w:t>E. 4</w:t>
      </w:r>
    </w:p>
    <w:p>
      <w:r>
        <w:t>a) Gemäss Art. 95 Abs. 1 AVIG muss die Kasse Leistungen der Versicherung, auf die der Empfänger keinen Anspruch hatte, zurückfordern.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122 V 368 Erw. 3, 271 Erw. 2). Von der Wiedererwägung ist die prozessuale Revision von Verwaltungsverfügungen zu unterscheiden. Danach ist die Verwaltung verpflichtet, auf eine formell rechtskräftige Verfügung zurückzukommen, wenn neue Tatsachen oder neue Beweismittel entdeckt werden, die geeignet sind, zu einer anderen rechtlichen Beurteilung zu führen ( BGE 122 V 272 Erw. 2, 119 V 184 Erw. 3a, 477 Erw. 1a). Die für die Wiedererwägung formell rechtskräftiger Verfügungen massgebenden Voraussetzungen gelten auch mit Bezug auf die Rückerstattung zu Unrecht bezogener Geldleistungen der Arbeitslosenversicherung gemäss Art. 95 AVIG ( BGE 122 V 272 Erw. 2, 110 V 179 Erw. 2a mit Hinweisen), und zwar unbesehen darum, ob sie förmlich oder formlos zugesprochen worden sind ( BGE 122 V 369 oben, 111 V 332 Erw. 1). Eine zweifellose Unrichtigkeit liegt nicht nur vor, wenn die in Wiedererwägung zu ziehende Verfügung aufgrund falscher oder unzutreffender Rechtsregeln erlassen wurde, sondern auch, wenn massgebliche Bestimmungen nicht oder unrichtig angewandt wurden (ARV 1996/97 Nr. 28 S. 158 Erw. 3c). Eine gesetzwidrige Leistungszusprechung gilt regelmässig als zweifellos unrichtig ( BGE 103 V 128 ). b) Dem Beschwerdegegner wurde unter Missachtung der Regelung über die Kurzarbeitsentschädigung und der hiezu ergangenen Rechtsprechung zum Anspruch arbeitgeberähnlicher Personen und von Ehegatten, die im Betrieb ihrer Ehefrau mitarbeiten, Arbeitslosenentschädigung ausgerichtet. Die Leistungszusprechung ist demzufolge rechtswidrig und damit zweifellos unrichtig. Da deren Berichtigung sodann angesichts des zurückgeforderten Betrages von Fr. 12'451. 60 gemäss Verfügung vom 29. September 1998 von erheblicher Bedeutung ist, sind die Voraussetzungen, unter denen die Verwaltung befugt ist, wiedererwägungsweise auf die formlose, jedoch rechtsbeständige Leistungsausrichtung ( BGE 122 V 368 Erw. 3) zurückzukommen, erfüllt. Demnach erkennt das Eidg. Versicherungsgericht: I.In Gutheissung der Verwaltungsgerichtsbeschwerden werden die Entscheide des Versicherungsgerichts des Kantons Aargau vom 22. Mai 2000 aufgehoben. II.Es werden keine Gerichtskosten erhoben. III. Dieses Urteil wird den Parteien, dem Versicherungsgericht des Kantons Aargau, dem Industrie-, Gewerbe- und Arbeitsamt des Kantons Aargau und der Öffentlichen Arbeitslosenkasse des Kantons Aargau zugestellt. Luzern, 30. April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