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C_195/2006 vom 24. Juli 2007</w:t>
      </w:r>
    </w:p>
    <w:p>
      <w:r>
        <w:t>Bundesgericht, 2007-07-24, IT</w:t>
      </w:r>
    </w:p>
    <w:p>
      <w:r>
        <w:rPr>
          <w:b/>
        </w:rPr>
        <w:t xml:space="preserve">Quelle: </w:t>
      </w:r>
      <w:r>
        <w:t>https://mcp.opencaselaw.ch/entscheid/bger_C_195_2006</w:t>
      </w:r>
    </w:p>
    <w:p>
      <w:r>
        <w:t>FR: TF C_195/2006 du 24 juillet 2007</w:t>
      </w:r>
    </w:p>
    <w:p>
      <w:r>
        <w:t>IT: TF C_195/2006 del 24 luglio 2007</w:t>
      </w:r>
    </w:p>
    <w:p>
      <w:pPr>
        <w:pStyle w:val="Heading2"/>
      </w:pPr>
      <w:r>
        <w:t>Erwägungen</w:t>
      </w:r>
    </w:p>
    <w:p>
      <w:r>
        <w:rPr>
          <w:b/>
        </w:rPr>
        <w:t>E. 1</w:t>
      </w:r>
    </w:p>
    <w:p>
      <w:r>
        <w:t>Il 1° gennaio 2007 è entrata in vigore la legge federale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Nella misura in cui, come in concreto,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3</w:t>
      </w:r>
    </w:p>
    <w:p>
      <w:r>
        <w:t>Nei considerandi dell'impugnata pronuncia, cui si rinvia, l'autorità giudiziaria cantonale ha già diffusamente esposto le norme e i principi disciplinanti la materia in esame, rammentando in particolare che l'assicurato, pena la sospensione, per un massimo di 60 giorni, dal diritto all'indennità (art. 30 cpv. 1 lett. d e cpv. 3 LADI, art. 45 cpv. 2 OADI ), è tenuto, in ossequio all'obbligo di ridurre il danno, ad accettare l'occupazione adeguata propostagli (art. 17 cpv. 3 in relazione con l' art. 16 LADI ). Giova inoltre ribadire che la colpa è in particolare ritenuta grave se l'assicurato ha abbandonato senza valido motivo un impiego idoneo senza garanzia di uno nuovo o ha rifiutato un lavoro idoneo ( art. 45 cpv. 3 OADI ). Per il resto, il giudice delle assicurazioni sociali non può, senza validi motivi, sostituire il proprio apprezzamento a quello dell'amministrazione (DLA 1998 no. 10 pag. 52 consid. 2).</w:t>
      </w:r>
    </w:p>
    <w:p>
      <w:r>
        <w:rPr>
          <w:b/>
        </w:rPr>
        <w:t>E. 4</w:t>
      </w:r>
    </w:p>
    <w:p>
      <w:r>
        <w:t>Nel caso in esame risulta dagli atti all'inserto che al ricorrente, dal 1° novembre 2004 alla ricerca di un'attività a tempo pieno quale impiegato di commercio qualificato, contabile o manager di marketing, è stata ufficialmente assegnata il 21 febbraio 2005 un'occupazione al 100% come impiegato di commercio qualificato presso la ditta Y.________, che però non ha avuto alcun esito.</w:t>
      </w:r>
    </w:p>
    <w:p>
      <w:r>
        <w:t>Dopo avere pertinentemente ricordato la giurisprudenza che al rifiuto di un'occupazione adeguata assimila il comportamento di un disoccupato che non manifesta esplicitamente e correttamente al datore di lavoro la propria disponibilità ad accettare l'impiego offerto, ed essersi confrontati in dettaglio con le dichiarazioni contraddittorie delle parti in relazione alla mancata assunzione, i giudici cantonali hanno ritenuto di poter concludere con verosimiglianza preponderante che il ricorrente non aveva nelle trattative con la ditta Y.________ espresso chiaramente ed inequivocabilmente la sua volontà di contrarre il rapporto di lavoro per porre termine alla sua disoccupazione, il che giustificava, di principio, una sospensione del diritto all'indennità giusta l'art. 30 cpv. 1 lett. d LADI.</w:t>
      </w:r>
    </w:p>
    <w:p>
      <w:r>
        <w:t>Tutto ben ponderato, questa Corte non vede motivo per non aderire alla valutazione dell'autorità giudiziaria cantonale, la quale ha dimostrato in maniera convincente che l'insorgente aveva di fatto rifiutato, con il suo comportamento, una reale possibilità di impiego. Neanche in questa sede l'interessato porta argomenti che permetterebbero di giungere a diversa conclusione.</w:t>
      </w:r>
    </w:p>
    <w:p>
      <w:r>
        <w:rPr>
          <w:b/>
        </w:rPr>
        <w:t>E. 5</w:t>
      </w:r>
    </w:p>
    <w:p>
      <w:r>
        <w:t>Nel fissare la sospensione in 31 giorni, amministrazione e giudici cantonali hanno giustamente reputato che la colpa del ricorrente era di natura grave (cfr. il già citato art. 45 cpv. 3 OADI ), collocandola al livello minimo previsto per questo grado di colpa. Tale apprezzamento sfugge ad ogni critica e merita di essere confermato.</w:t>
      </w:r>
    </w:p>
    <w:p>
      <w:r>
        <w:rPr>
          <w:b/>
        </w:rPr>
        <w:t>E. 6</w:t>
      </w:r>
    </w:p>
    <w:p>
      <w:r>
        <w:t>La presente fattispecie, sufficientemente chiara, può essere decisa secondo la procedura sommaria prevista dall' art. 36a OG .</w:t>
      </w:r>
    </w:p>
    <w:p>
      <w:r>
        <w:t>Vertendo sull'assegnazione o il rifiuto di prestazioni assicurative, la procedura è gratuita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