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190/02 vom 14. Oktober 2002</w:t>
      </w:r>
    </w:p>
    <w:p>
      <w:r>
        <w:t>Bundesgericht, 2002-10-14, DE</w:t>
      </w:r>
    </w:p>
    <w:p>
      <w:r>
        <w:rPr>
          <w:b/>
        </w:rPr>
        <w:t xml:space="preserve">Quelle: </w:t>
      </w:r>
      <w:r>
        <w:t>https://mcp.opencaselaw.ch/entscheid/bger_C_190_02</w:t>
      </w:r>
    </w:p>
    <w:p>
      <w:r>
        <w:t>FR: TF C 190/02 du 14 octobre 2002</w:t>
      </w:r>
    </w:p>
    <w:p>
      <w:r>
        <w:t>IT: TF C 190/02 del 14 ottobre 2002</w:t>
      </w:r>
    </w:p>
    <w:p>
      <w:pPr>
        <w:pStyle w:val="Heading2"/>
      </w:pPr>
      <w:r>
        <w:t>Regeste</w:t>
      </w:r>
    </w:p>
    <w:p>
      <w:r>
        <w:t>Arbeitslosenversicherung</w:t>
      </w:r>
    </w:p>
    <w:p>
      <w:pPr>
        <w:pStyle w:val="Heading2"/>
      </w:pPr>
      <w:r>
        <w:t>Erwägungen</w:t>
      </w:r>
    </w:p>
    <w:p>
      <w:r>
        <w:rPr>
          <w:b/>
        </w:rPr>
        <w:t>E. 1</w:t>
      </w:r>
    </w:p>
    <w:p>
      <w:r>
        <w:t>Das kantonale Gericht hat die gesetzlichen Bestimmungen und die Grundsätze über die Voraussetzungen für den Anspruch auf Arbeitslosenentschädigung im Allgemeinen ( Art. 8 Abs. 1 AVIG ) und die Voraussetzung der Vermittlungsfähigkeit im Besonderen ( Art. 15 AVIG ; BGE 125 V 58 Erw. 6a, 115 V 431 Erw. 2c/aa, 436 Erw. 2c) zutreffend dargelegt. Darauf wird verwiesen. Zu ergänzen ist, dass Art. 8 Abs. 1 lit. a AVIG als eine der Anspruchsvoraussetzungen auf Arbeitslosenentschädigung die ganze oder teilweise Arbeitslosigkeit nennt. Als ganz arbeitslos gilt, wer in keinem Arbeitsverhältnis steht und eine Vollzeitbeschäftigung sucht ( Art. 10 Abs. 1 AVIG ), während teilweise Arbeitslosigkeit u.a. dann vorliegt, wenn der Versicherte eine Teilzeitbeschäftigung hat und eine Vollzeit- oder eine weitere Teilzeitbeschäftigung sucht ( Art. 10 Abs. 2 lit. b AVIG ). Zur Vermittlungsfähigkeit gehört nicht nur die Arbeitsfähigkeit im objektiven Sinn, sondern subjektiv auch die Bereitschaft, die Arbeitskraft entsprechend den persönlichen Verhältnissen während der üblichen Arbeitszeit einzusetzen ( BGE 125 V 58 Erw. 6a, 123 V 216 Erw. 3, je mit Hinweis). Die Beurteilung der Vermittlungsfähigkeit hat prospektiv, d.h. von jenem Zeitpunkt aus und auf Grund jener Verhältnisse, die bei Erlass der streitigen Verfügung gegeben waren, sowie gestützt auf eine Gesamtwürdigung der für die Anstellungschancen im Einzelfall wesentlichen, objektiven und subjektiven Faktoren zu erfolgen ( BGE 120 V 387 Erw. 2; ARV 2002 S. 112 Erw. 2a, 2001 S. 146 Erw. 1).</w:t>
      </w:r>
    </w:p>
    <w:p>
      <w:r>
        <w:rPr>
          <w:b/>
        </w:rPr>
        <w:t>E. 2.1</w:t>
      </w:r>
    </w:p>
    <w:p>
      <w:r>
        <w:t>Das seco stützt sich, wie die Vorinstanz zutreffend erwogen hat, zu Unrecht auf die Rechtsprechung ARV 2002 S. 57. Jenes Urteil kann nicht tel quel auf Verhältnisse wie das vorliegende übertragen werden. Denn in jenem Fall ging es um die Frage, ob eine Versicherte zu Recht in der Anspruchsberechtigung eingestellt wurde, weil sie eine ausgeübte Teilzeitarbeit nicht zu Gunsten einer ihr zugewiesenen zumutbaren Vollzeitbeschäftigung aufgegeben hatte, obwohl sie nur eine zusätzliche Teilzeitstelle suchte ( Art. 17 Abs. 3, Art. 30 Abs. 1 lit. d AVIG ). Der Entscheid befasste sich somit in der Hauptsache nicht mit der Frage der Vermittlungsfähigkeit, sondern mit der Frage der Zumutbarkeit einer zugewiesenen Arbeit. Jene Rechtsprechung ist nur auf Fälle anwendbar, in denen es bereits zur konkreten Stellenzuweisung gekommen ist. Dies trifft vorliegend nicht zu, weshalb auch nicht eine Ablehnung einer zugewiesenen zumutbaren Arbeit gegeben ist.</w:t>
      </w:r>
    </w:p>
    <w:p>
      <w:r>
        <w:rPr>
          <w:b/>
        </w:rPr>
        <w:t>E. 2.2.1</w:t>
      </w:r>
    </w:p>
    <w:p>
      <w:r>
        <w:t>In casu geht es hingegen um die grundsätzliche Frage, ob überhaupt ein Anspruch auf Arbeitslosenentschädigung besteht. Dieser kann bei fehlender Vermittlungsfähigkeit verneint werden. Teilweise Arbeitslose im Sinne von Art. 10 Abs. 2 AVIG gelten in zeitlicher Hinsicht als vermittlungsfähig, wenn sie bereit und in der Lage sind, eine zumutbare Arbeit anzunehmen im Umfang des geltend gemachten, anrechenbaren Arbeitsausfalls, der mindestens 20 % einer Vollerwerbstätigkeit betragen muss. Als Anspruchsvoraussetzung schliesst der Begriff der Vermittlungs(un)fähigkeit graduelle Abstufungen aus. Entweder ist der Versicherte vermittlungsfähig, insbesondere bereit, im besagten Umfang eine zumutbare Arbeit anzunehmen, oder nicht ( Art. 11 Abs. 1 AVIG in Verbindung mit Art. 5 AVIV ; BGE 125 V 58 Erw. 6a mit Hinweisen; Nussbaumer, Arbeitslosenversicherung, in: Schweizerisches Bundesverwaltungsrecht [SBVR], Rz 220). Es ist unbestritten, dass die Beschwerdegegnerin in einem langjährigen stabilen 50%-Arbeitsverhältnis beim Arbeitgeber B.________ steht. Sie sucht als Ersatz für die verloren gegangene eine weitere Teilzeitstelle im Umfang von 20 %. Damit ist sie in zeitlicher Hinsicht vermittlungsfähig. Der Umstand, dass sie daneben nur an Nachmittagen (mit Ausnahme des Freitags) tätig sein kann, schränkt ihre Verfügbarkeit nicht derart ein, dass sie als vermittlungsunfähig gelten würde ( BGE 123 V 216 Erw. 3).</w:t>
      </w:r>
    </w:p>
    <w:p>
      <w:r>
        <w:rPr>
          <w:b/>
        </w:rPr>
        <w:t>E. 2.2.2</w:t>
      </w:r>
    </w:p>
    <w:p>
      <w:r>
        <w:t>Es geht nicht an, die Vermittlungsfähigkeit und damit den Anspruch auf Arbeitslosenentschädigung bereits im Voraus mit der Begründung zu verneinen, die teilarbeitslose Person sei nicht vermittlungsfähig, weil sie nicht bereit sei, ihre zur Zeit versehene Teilzeitstelle zu Gunsten einer hypothetischen, zeitlich umfassenderen Teilzeitarbeit aufzugeben. Die Rechtsprechung ARV 2002 S. 57 kommt erst unter den in der dortigen Erw. 2a Abs. 2 genannten Voraussetzungen (Charakter der Zwischenverdiensttätigkeit, Schadenminderungspflicht) zum Zuge, wie die Vorinstanz in Erw. 2d richtig erkannt hat (vgl. auch Nussbaumer, a.a.O., Rz 219).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