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C_166/2006 vom 27. Oktober 2006</w:t>
      </w:r>
    </w:p>
    <w:p>
      <w:r>
        <w:t>Bundesgericht, 2006-10-27, FR</w:t>
      </w:r>
    </w:p>
    <w:p>
      <w:r>
        <w:rPr>
          <w:b/>
        </w:rPr>
        <w:t xml:space="preserve">Quelle: </w:t>
      </w:r>
      <w:r>
        <w:t>https://mcp.opencaselaw.ch/entscheid/bger_C_166_2006</w:t>
      </w:r>
    </w:p>
    <w:p>
      <w:r>
        <w:t>FR: TF C_166/2006 du 27 octobre 2006</w:t>
      </w:r>
    </w:p>
    <w:p>
      <w:r>
        <w:t>IT: TF C_166/2006 del 27 ottobre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où il est recevable, le recours est rejeté.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Le présent arrêt sera communiqué aux parties, au Tribunal cantonal des assurances sociales de la République et canton de Genève et au Secrétariat d'Etat à l'économie.</w:t>
      </w:r>
    </w:p>
    <w:p>
      <w:r>
        <w:t>Lucerne, le 27 octobre 2006</w:t>
      </w:r>
    </w:p>
    <w:p>
      <w:r>
        <w:t>Au nom du Tribunal fédéral des assurances</w:t>
      </w:r>
    </w:p>
    <w:p>
      <w:r>
        <w:t>La Présidente de la IIe Chambre: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