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150/00 vom 12. Februar 2001</w:t>
      </w:r>
    </w:p>
    <w:p>
      <w:r>
        <w:t>Bundesgericht, 2001-02-12, DE</w:t>
      </w:r>
    </w:p>
    <w:p>
      <w:r>
        <w:rPr>
          <w:b/>
        </w:rPr>
        <w:t xml:space="preserve">Quelle: </w:t>
      </w:r>
      <w:r>
        <w:t>https://mcp.opencaselaw.ch/entscheid/bger_C_150_00</w:t>
      </w:r>
    </w:p>
    <w:p>
      <w:r>
        <w:t>FR: TF C 150/00 du 12 février 2001</w:t>
      </w:r>
    </w:p>
    <w:p>
      <w:r>
        <w:t>IT: TF C 150/00 del 12 febbraio 2001</w:t>
      </w:r>
    </w:p>
    <w:p>
      <w:pPr>
        <w:pStyle w:val="Heading2"/>
      </w:pPr>
      <w:r>
        <w:t>Regeste</w:t>
      </w:r>
    </w:p>
    <w:p>
      <w:r>
        <w:t>Arbeitslosenversicherung</w:t>
      </w:r>
    </w:p>
    <w:p>
      <w:pPr>
        <w:pStyle w:val="Heading2"/>
      </w:pPr>
      <w:r>
        <w:t>Erwägungen</w:t>
      </w:r>
    </w:p>
    <w:p>
      <w:r>
        <w:rPr>
          <w:b/>
        </w:rPr>
        <w:t>E. 1</w:t>
      </w:r>
    </w:p>
    <w:p>
      <w:r>
        <w:t>a) Nach Art. 8 Abs. 1 AVIG hat der Versicherte Anspruch auf Arbeitslosenentschädigung, wenn er u.a. ganz oder teilweise arbeitslos ist (lit. a), einen anrechenbaren Arbeitsausfall erlitten hat (lit. b), die Beitragszeit erfüllt hat oder von deren Erfüllung befreit ist (lit. e) sowie die Kontrollvorschriften erfüllt (lit. g). Als ganz arbeitslos gilt, wer in keinem Arbeitsverhältnis steht und eine Vollzeitbeschäftigung sucht ( Art. 10 Abs. 1 AVIG ). Der Arbeitsuchende gilt erst dann als ganz (oder teilweise) arbeitslos, wenn er sich beim Arbeitsamt seines Wohnorts zur Arbeitsvermittlung gemeldet hat ( Art. 10 Abs. 3 AVIG ). b) 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wieder Leistungen nach Artikel 7 Absatz 2 lit. a oder b (z.B. Arbeitslosenentschädigung), so gelten, sofern das Gesetz nichts anderes vorsieht, erneut zweijährige Rahmenfristen für den Leistungsbezug und die Beitragszeit (Abs. 4). Die Beitragszeit hat erfüllt, wer innerhalb der dafür vorgesehenen Rahmenfrist für die Beitragszeit ( Art. 9 Abs. 3 AVIG ) während mindestens sechs Monaten eine beitragspflichtige Beschäftigung ausgeübt hat ( Art. 13 Abs. 1 AVIG ).</w:t>
      </w:r>
    </w:p>
    <w:p>
      <w:r>
        <w:rPr>
          <w:b/>
        </w:rPr>
        <w:t>E. 2</w:t>
      </w:r>
    </w:p>
    <w:p>
      <w:r>
        <w:t>Die Vorinstanz hat auf Grund der Akten richtig erkannt, dass der Beschwerdeführer sich erst am 25. Juni 1999 beim zuständigen Arbeitsamt zur Vermittlung angemeldet hat, weshalb die Rahmenfrist für die Beitragszeit vom 25. Juni 1997 bis 25. Juni 1999 gedauert hat. Allfällige frühere Kontakte mit der Verwaltung, soweit sie überhaupt belegt sind, können nicht berücksichtigt werden, weil jedenfalls die Kontrollvorschriften nicht eingehalten wurden und keine Arbeitsbemühungen nachgewiesen sind. Es bleibt daher dabei, dass der Beschwerdeführer erst ab 25. Juni 1999 als arbeitslos gilt. In der sich daraus ergebenden Rahmenfrist hat er nicht während wenigstens sechs Monaten eine beitragspflichtige Beschäftigung ausgeübt. Zwar macht er wie schon vor dem kantonalen Gericht geltend, bei der B.________ AG bis zu deren Konkurs am 5. Januar 1999 angestellt gewesen zu sein, auch wenn er seit Oktober 1997 keinen Lohn mehr erhalten habe. Indessen sind auf seinem Individuellen Konto nur bis 1996 AHV-Beiträge eingetragen, obwohl er als Mitglied des Verwaltungsrates in diesem Betrieb für eine ordnungsgemässe Abrechnung der Sozialversicherungsbeiträge verantwortlich war ( Art. 52 AHVG und hiezu ergangene Rechtsprechung, z.B. statt vieler BGE 123 V 15 Erw. 5a). In den Akten fehlen Hinweise auf eine allfällige Aktivität der erwähnten Firma in dieser Rahmenfrist. Daher ist die Mindestgrenze des versicherten Verdienstes von Fr. 500.- im Monat nach Art. 40 AVIV nicht erreicht, weil rechtsprechungsgemäss vom tatsächlich bezogenen und nicht von einem fiktiven Lohn auszugehen ist (ARV 1995 Nr. 15 S. 81 Erw. 2c). Damit ist der Anspruch des Beschwerdeführers auf Arbeitslosenentschädigung zu Recht verneint worden.</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Verwaltungsge- richt des Kantons Luzern, Sozialversicherungsrecht- liche Abteilung, dem Kantonalen Arbeitsamt Luzern und dem Staatssekretariat für Wirtschaft zugestellt. Luzern, 12.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